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jc w:val="center"/>
        <w:rPr>
          <w:rFonts w:hint="eastAsia"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环境与化学工程学院优良学风集体及个人</w:t>
      </w:r>
    </w:p>
    <w:p>
      <w:pPr>
        <w:spacing w:after="156" w:afterLines="50" w:line="700" w:lineRule="exact"/>
        <w:jc w:val="center"/>
        <w:rPr>
          <w:rFonts w:hint="eastAsia"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评选细则</w:t>
      </w:r>
    </w:p>
    <w:p>
      <w:pPr>
        <w:pStyle w:val="2"/>
        <w:pBdr>
          <w:bottom w:val="dotted" w:color="D8D8D8" w:sz="6" w:space="3"/>
        </w:pBdr>
        <w:shd w:val="clear" w:color="auto" w:fill="FFFFFF"/>
        <w:spacing w:before="0" w:beforeAutospacing="0" w:after="0" w:afterAutospacing="0" w:line="390" w:lineRule="atLeast"/>
        <w:jc w:val="center"/>
        <w:rPr>
          <w:rFonts w:hint="eastAsia" w:ascii="仿宋" w:hAnsi="仿宋" w:eastAsia="仿宋" w:cs="仿宋"/>
          <w:sz w:val="48"/>
          <w:szCs w:val="48"/>
        </w:rPr>
      </w:pPr>
      <w:r>
        <w:rPr>
          <w:rFonts w:hint="eastAsia" w:ascii="仿宋" w:hAnsi="仿宋" w:eastAsia="仿宋" w:cs="仿宋"/>
          <w:kern w:val="0"/>
          <w:sz w:val="24"/>
          <w:szCs w:val="24"/>
          <w:shd w:val="clear" w:color="auto" w:fill="FFFFFF"/>
        </w:rPr>
        <w:t>（2021年7月修订）</w:t>
      </w:r>
    </w:p>
    <w:p>
      <w:pPr>
        <w:widowControl/>
        <w:spacing w:after="90" w:line="315" w:lineRule="atLeast"/>
        <w:jc w:val="center"/>
        <w:rPr>
          <w:rFonts w:hint="eastAsia" w:ascii="黑体" w:hAnsi="黑体" w:eastAsia="黑体" w:cs="黑体"/>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第一章 总则</w:t>
      </w:r>
    </w:p>
    <w:p>
      <w:pPr>
        <w:snapToGrid w:val="0"/>
        <w:spacing w:line="360" w:lineRule="auto"/>
        <w:ind w:firstLine="643" w:firstLineChars="200"/>
        <w:rPr>
          <w:rFonts w:ascii="仿宋" w:hAnsi="仿宋" w:eastAsia="仿宋" w:cs="仿宋"/>
          <w:kern w:val="0"/>
          <w:sz w:val="32"/>
          <w:szCs w:val="32"/>
          <w:shd w:val="clear" w:color="auto" w:fill="FFFFFF"/>
        </w:rPr>
      </w:pPr>
      <w:r>
        <w:rPr>
          <w:rFonts w:hint="eastAsia" w:ascii="仿宋" w:hAnsi="仿宋" w:eastAsia="仿宋" w:cs="仿宋"/>
          <w:b/>
          <w:sz w:val="32"/>
          <w:szCs w:val="32"/>
        </w:rPr>
        <w:t xml:space="preserve">第一条  </w:t>
      </w:r>
      <w:r>
        <w:rPr>
          <w:rFonts w:hint="eastAsia" w:ascii="仿宋" w:hAnsi="仿宋" w:eastAsia="仿宋" w:cs="仿宋"/>
          <w:kern w:val="0"/>
          <w:sz w:val="32"/>
          <w:szCs w:val="32"/>
          <w:shd w:val="clear" w:color="auto" w:fill="FFFFFF"/>
        </w:rPr>
        <w:t>学风是学院整体精神风貌和文明程度的重要标</w:t>
      </w:r>
      <w:r>
        <w:rPr>
          <w:rFonts w:hint="eastAsia" w:ascii="仿宋" w:hAnsi="仿宋" w:eastAsia="仿宋" w:cs="仿宋"/>
          <w:kern w:val="0"/>
          <w:sz w:val="32"/>
          <w:szCs w:val="32"/>
          <w:highlight w:val="none"/>
          <w:shd w:val="clear" w:color="auto" w:fill="FFFFFF"/>
        </w:rPr>
        <w:t>志，是影响学生成长成才的重要因素。为全面贯彻执行党的教育方针，推进素质教育，加强我院班风学风建设，创造有利于学生德、智、体、美全面发展的学习、生活环境，形成良好的学习风气，根据《上海电力</w:t>
      </w:r>
      <w:r>
        <w:rPr>
          <w:rFonts w:hint="eastAsia" w:ascii="仿宋" w:hAnsi="仿宋" w:eastAsia="仿宋" w:cs="仿宋"/>
          <w:kern w:val="0"/>
          <w:sz w:val="32"/>
          <w:szCs w:val="32"/>
          <w:shd w:val="clear" w:color="auto" w:fill="FFFFFF"/>
        </w:rPr>
        <w:t>大学优良学风集体及个人评选办法》，结合学院实际，制定本细则。</w:t>
      </w:r>
    </w:p>
    <w:p>
      <w:pPr>
        <w:snapToGrid w:val="0"/>
        <w:spacing w:line="360" w:lineRule="auto"/>
        <w:ind w:firstLine="643" w:firstLineChars="200"/>
        <w:rPr>
          <w:rFonts w:hint="eastAsia" w:ascii="仿宋" w:hAnsi="仿宋" w:eastAsia="仿宋" w:cs="仿宋"/>
          <w:kern w:val="0"/>
          <w:sz w:val="32"/>
          <w:szCs w:val="32"/>
          <w:shd w:val="clear" w:color="auto" w:fill="FFFFFF"/>
        </w:rPr>
      </w:pPr>
      <w:r>
        <w:rPr>
          <w:rFonts w:hint="eastAsia" w:ascii="仿宋" w:hAnsi="仿宋" w:eastAsia="仿宋" w:cs="仿宋"/>
          <w:b/>
          <w:sz w:val="32"/>
          <w:szCs w:val="32"/>
        </w:rPr>
        <w:t xml:space="preserve">第二条  </w:t>
      </w:r>
      <w:r>
        <w:rPr>
          <w:rFonts w:hint="eastAsia" w:ascii="仿宋" w:hAnsi="仿宋" w:eastAsia="仿宋" w:cs="仿宋"/>
          <w:kern w:val="0"/>
          <w:sz w:val="32"/>
          <w:szCs w:val="32"/>
          <w:shd w:val="clear" w:color="auto" w:fill="FFFFFF"/>
        </w:rPr>
        <w:t>评选过程中坚持公平、公开和公正原则，对参评集体和个人应严格要求，确保评优质量。</w:t>
      </w:r>
    </w:p>
    <w:p>
      <w:pPr>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sz w:val="32"/>
          <w:szCs w:val="32"/>
        </w:rPr>
        <w:t>第三条</w:t>
      </w:r>
      <w:r>
        <w:rPr>
          <w:rFonts w:hint="eastAsia" w:ascii="仿宋" w:hAnsi="仿宋" w:eastAsia="仿宋" w:cs="仿宋"/>
          <w:kern w:val="0"/>
          <w:sz w:val="32"/>
          <w:szCs w:val="32"/>
          <w:shd w:val="clear" w:color="auto" w:fill="FFFFFF"/>
        </w:rPr>
        <w:t xml:space="preserve">  优良学风集体及个人评选对象为学院本科班级和学生。</w:t>
      </w:r>
    </w:p>
    <w:p>
      <w:pPr>
        <w:widowControl/>
        <w:spacing w:after="90" w:line="315" w:lineRule="atLeast"/>
        <w:jc w:val="center"/>
        <w:rPr>
          <w:rStyle w:val="10"/>
          <w:rFonts w:hint="eastAsia"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第二章  评选条件与要求</w:t>
      </w:r>
    </w:p>
    <w:p>
      <w:pPr>
        <w:snapToGrid w:val="0"/>
        <w:spacing w:line="360" w:lineRule="auto"/>
        <w:ind w:firstLine="643" w:firstLineChars="200"/>
        <w:rPr>
          <w:rStyle w:val="10"/>
          <w:rFonts w:ascii="仿宋" w:hAnsi="仿宋" w:eastAsia="仿宋" w:cs="仿宋"/>
          <w:bCs w:val="0"/>
          <w:kern w:val="0"/>
          <w:sz w:val="32"/>
          <w:szCs w:val="32"/>
          <w:shd w:val="clear" w:color="auto" w:fill="FFFFFF"/>
        </w:rPr>
      </w:pPr>
      <w:r>
        <w:rPr>
          <w:rFonts w:hint="eastAsia" w:ascii="仿宋" w:hAnsi="仿宋" w:eastAsia="仿宋" w:cs="仿宋"/>
          <w:b/>
          <w:sz w:val="32"/>
          <w:szCs w:val="32"/>
        </w:rPr>
        <w:t xml:space="preserve">第四条 </w:t>
      </w:r>
      <w:r>
        <w:rPr>
          <w:rFonts w:hint="eastAsia" w:ascii="仿宋" w:hAnsi="仿宋" w:eastAsia="仿宋" w:cs="仿宋"/>
          <w:kern w:val="0"/>
          <w:sz w:val="32"/>
          <w:szCs w:val="32"/>
          <w:shd w:val="clear" w:color="auto" w:fill="FFFFFF"/>
        </w:rPr>
        <w:t xml:space="preserve"> 优良学风集体种类分为</w:t>
      </w:r>
      <w:r>
        <w:rPr>
          <w:rFonts w:hint="eastAsia" w:ascii="仿宋" w:hAnsi="仿宋" w:eastAsia="仿宋" w:cs="仿宋"/>
          <w:b/>
          <w:kern w:val="0"/>
          <w:sz w:val="32"/>
          <w:szCs w:val="32"/>
          <w:shd w:val="clear" w:color="auto" w:fill="FFFFFF"/>
        </w:rPr>
        <w:t>优良学风班、优良学风示范班。</w:t>
      </w:r>
    </w:p>
    <w:p>
      <w:pPr>
        <w:ind w:right="10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第五条 优良学风集体的评选</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1.评选标准基本参照《环境与化学工程学院班级学风评估指标体系》。</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r>
        <w:rPr>
          <w:rFonts w:hint="eastAsia" w:ascii="仿宋" w:hAnsi="仿宋" w:eastAsia="仿宋" w:cs="仿宋"/>
          <w:kern w:val="0"/>
          <w:sz w:val="32"/>
          <w:szCs w:val="32"/>
          <w:shd w:val="clear" w:color="auto" w:fill="FFFFFF"/>
        </w:rPr>
        <w:t>还需具备：</w:t>
      </w:r>
      <w:r>
        <w:rPr>
          <w:rFonts w:hint="eastAsia" w:ascii="仿宋_GB2312" w:hAnsi="仿宋_GB2312" w:eastAsia="仿宋_GB2312" w:cs="仿宋_GB2312"/>
          <w:sz w:val="32"/>
          <w:szCs w:val="32"/>
        </w:rPr>
        <w:t>在班级学风建设中，特色亮点突出，创新开辟特色平台，有效推进学风建设，具体做法有特色、易推广。学院在“优良学风班”中择优推荐上报学生工作部（处），学校评审委员会将组织公开答辩。</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3.班级有学生因考试违纪、旷课等受到学校纪律处分的，或班级发生酗酒打架、群殴等影响恶劣的违反校规校纪行为，或弄虚作假、查证属实的，取消在参评期间内其所在班级评选资格。</w:t>
      </w:r>
    </w:p>
    <w:p>
      <w:pPr>
        <w:snapToGrid w:val="0"/>
        <w:spacing w:line="360" w:lineRule="auto"/>
        <w:ind w:right="10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优良学风先进个人的评选标准</w:t>
      </w:r>
    </w:p>
    <w:p>
      <w:pPr>
        <w:pStyle w:val="18"/>
        <w:snapToGrid w:val="0"/>
        <w:spacing w:line="360" w:lineRule="auto"/>
        <w:ind w:left="855" w:firstLine="0" w:firstLineChars="0"/>
        <w:rPr>
          <w:rFonts w:hint="eastAsia" w:ascii="仿宋_GB2312" w:hAnsi="仿宋_GB2312" w:eastAsia="仿宋_GB2312" w:cs="仿宋_GB2312"/>
          <w:sz w:val="32"/>
          <w:szCs w:val="32"/>
        </w:rPr>
      </w:pPr>
      <w:r>
        <w:rPr>
          <w:rFonts w:hint="eastAsia" w:ascii="仿宋" w:hAnsi="仿宋" w:eastAsia="仿宋" w:cs="仿宋"/>
          <w:kern w:val="0"/>
          <w:sz w:val="32"/>
          <w:szCs w:val="32"/>
          <w:shd w:val="clear" w:color="auto" w:fill="FFFFFF"/>
        </w:rPr>
        <w:t>评选标准参照《</w:t>
      </w:r>
      <w:r>
        <w:rPr>
          <w:rFonts w:hint="eastAsia" w:ascii="仿宋_GB2312" w:hAnsi="仿宋_GB2312" w:eastAsia="仿宋_GB2312" w:cs="仿宋_GB2312"/>
          <w:sz w:val="32"/>
          <w:szCs w:val="32"/>
        </w:rPr>
        <w:t>环境与化学工程学院本科学生综合测评实</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施细则</w:t>
      </w:r>
      <w:r>
        <w:rPr>
          <w:rFonts w:hint="eastAsia" w:ascii="仿宋" w:hAnsi="仿宋" w:eastAsia="仿宋" w:cs="仿宋"/>
          <w:kern w:val="0"/>
          <w:sz w:val="32"/>
          <w:szCs w:val="32"/>
          <w:shd w:val="clear" w:color="auto" w:fill="FFFFFF"/>
        </w:rPr>
        <w:t>》，此外还需突出以下条件：</w:t>
      </w:r>
    </w:p>
    <w:p>
      <w:pPr>
        <w:snapToGrid w:val="0"/>
        <w:spacing w:line="360" w:lineRule="auto"/>
        <w:ind w:right="10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2.学习刻苦，品行端正，综合测评情况在班级、专业名列前茅或在学术活动、学习竞赛中表现突出，成绩优秀；</w:t>
      </w:r>
    </w:p>
    <w:p>
      <w:pPr>
        <w:ind w:right="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rPr>
        <w:t>4.</w:t>
      </w:r>
      <w:r>
        <w:rPr>
          <w:rFonts w:hint="eastAsia" w:ascii="仿宋" w:hAnsi="仿宋" w:eastAsia="仿宋" w:cs="仿宋"/>
          <w:kern w:val="0"/>
          <w:sz w:val="32"/>
          <w:szCs w:val="32"/>
          <w:shd w:val="clear" w:color="auto" w:fill="FFFFFF"/>
        </w:rPr>
        <w:t>参评学年受到学校纪律处分的或违反校规校纪行为者，不得申报；申报材料弄虚作假者，查证属实，取消评奖资格，并不得参加下一学年的申报。</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第三章  获奖名额与评选程序</w:t>
      </w:r>
    </w:p>
    <w:p>
      <w:pPr>
        <w:widowControl/>
        <w:ind w:firstLine="643" w:firstLineChars="200"/>
        <w:jc w:val="left"/>
        <w:rPr>
          <w:rFonts w:ascii="仿宋" w:hAnsi="仿宋" w:eastAsia="仿宋" w:cs="仿宋"/>
          <w:kern w:val="0"/>
          <w:sz w:val="32"/>
          <w:szCs w:val="32"/>
        </w:rPr>
      </w:pPr>
      <w:r>
        <w:rPr>
          <w:rFonts w:hint="eastAsia" w:ascii="仿宋" w:hAnsi="仿宋" w:eastAsia="仿宋" w:cs="仿宋"/>
          <w:b/>
          <w:sz w:val="32"/>
          <w:szCs w:val="32"/>
        </w:rPr>
        <w:t xml:space="preserve">第七条  </w:t>
      </w:r>
      <w:r>
        <w:rPr>
          <w:rFonts w:hint="eastAsia" w:ascii="仿宋" w:hAnsi="仿宋" w:eastAsia="仿宋" w:cs="仿宋"/>
          <w:kern w:val="0"/>
          <w:sz w:val="32"/>
          <w:szCs w:val="32"/>
          <w:shd w:val="clear" w:color="auto" w:fill="FFFFFF"/>
        </w:rPr>
        <w:t>评审机构</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学院成立学风建设工作小组，负责评选工作。</w:t>
      </w:r>
    </w:p>
    <w:p>
      <w:pPr>
        <w:ind w:firstLine="643" w:firstLineChars="200"/>
        <w:rPr>
          <w:rFonts w:ascii="仿宋" w:hAnsi="仿宋" w:eastAsia="仿宋" w:cs="仿宋"/>
          <w:kern w:val="0"/>
          <w:sz w:val="32"/>
          <w:szCs w:val="32"/>
          <w:shd w:val="clear" w:color="auto" w:fill="FFFFFF"/>
        </w:rPr>
      </w:pPr>
      <w:r>
        <w:rPr>
          <w:rFonts w:hint="eastAsia" w:ascii="仿宋" w:hAnsi="仿宋" w:eastAsia="仿宋" w:cs="仿宋"/>
          <w:b/>
          <w:kern w:val="0"/>
          <w:sz w:val="32"/>
          <w:szCs w:val="32"/>
        </w:rPr>
        <w:t xml:space="preserve">第八条  </w:t>
      </w:r>
      <w:r>
        <w:rPr>
          <w:rFonts w:hint="eastAsia" w:ascii="仿宋" w:hAnsi="仿宋" w:eastAsia="仿宋" w:cs="仿宋"/>
          <w:kern w:val="0"/>
          <w:sz w:val="32"/>
          <w:szCs w:val="32"/>
          <w:shd w:val="clear" w:color="auto" w:fill="FFFFFF"/>
        </w:rPr>
        <w:t>获奖名额</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1.优良学风集体、优良学风先进个人每学年评选一次，原则上按专业、按年级评比。</w:t>
      </w:r>
    </w:p>
    <w:p>
      <w:pPr>
        <w:ind w:right="100" w:firstLine="640" w:firstLineChars="200"/>
        <w:jc w:val="left"/>
        <w:rPr>
          <w:rFonts w:hint="eastAsia" w:ascii="仿宋_GB2312" w:hAnsi="仿宋_GB2312" w:eastAsia="仿宋_GB2312" w:cs="仿宋_GB2312"/>
          <w:sz w:val="32"/>
          <w:szCs w:val="32"/>
        </w:rPr>
      </w:pPr>
      <w:r>
        <w:rPr>
          <w:rFonts w:hint="eastAsia" w:ascii="仿宋" w:hAnsi="仿宋" w:eastAsia="仿宋" w:cs="仿宋"/>
          <w:kern w:val="0"/>
          <w:sz w:val="32"/>
          <w:szCs w:val="32"/>
          <w:shd w:val="clear" w:color="auto" w:fill="FFFFFF"/>
        </w:rPr>
        <w:t>2.</w:t>
      </w:r>
      <w:r>
        <w:rPr>
          <w:rFonts w:hint="eastAsia" w:ascii="仿宋_GB2312" w:hAnsi="仿宋_GB2312" w:eastAsia="仿宋_GB2312" w:cs="仿宋_GB2312"/>
          <w:sz w:val="32"/>
          <w:szCs w:val="32"/>
        </w:rPr>
        <w:t>学院优良学风班的评选比例不超过具有参评资格的班级总数的10%。优良学风示范班</w:t>
      </w:r>
      <w:r>
        <w:rPr>
          <w:rFonts w:hint="eastAsia" w:ascii="仿宋" w:hAnsi="仿宋" w:eastAsia="仿宋" w:cs="仿宋"/>
          <w:kern w:val="0"/>
          <w:sz w:val="32"/>
          <w:szCs w:val="32"/>
          <w:shd w:val="clear" w:color="auto" w:fill="FFFFFF"/>
        </w:rPr>
        <w:t>评选对象为上一学年获得优良学风班的班级，</w:t>
      </w:r>
      <w:r>
        <w:rPr>
          <w:rFonts w:hint="eastAsia" w:ascii="仿宋_GB2312" w:hAnsi="仿宋_GB2312" w:eastAsia="仿宋_GB2312" w:cs="仿宋_GB2312"/>
          <w:sz w:val="32"/>
          <w:szCs w:val="32"/>
        </w:rPr>
        <w:t>根据公开答辩综合得分报评审委员会审定。优良学风先进个人的评选比例不超过具有参评资格的学生总数的1%。</w:t>
      </w:r>
    </w:p>
    <w:p>
      <w:pPr>
        <w:widowControl/>
        <w:ind w:firstLine="643" w:firstLineChars="200"/>
        <w:rPr>
          <w:rFonts w:ascii="仿宋" w:hAnsi="仿宋" w:eastAsia="仿宋" w:cs="仿宋"/>
          <w:kern w:val="0"/>
          <w:sz w:val="32"/>
          <w:szCs w:val="32"/>
        </w:rPr>
      </w:pPr>
      <w:r>
        <w:rPr>
          <w:rFonts w:hint="eastAsia" w:ascii="仿宋" w:hAnsi="仿宋" w:eastAsia="仿宋" w:cs="仿宋"/>
          <w:b/>
          <w:sz w:val="32"/>
          <w:szCs w:val="32"/>
        </w:rPr>
        <w:t xml:space="preserve">第九条  </w:t>
      </w:r>
      <w:r>
        <w:rPr>
          <w:rFonts w:hint="eastAsia" w:ascii="仿宋" w:hAnsi="仿宋" w:eastAsia="仿宋" w:cs="仿宋"/>
          <w:kern w:val="0"/>
          <w:sz w:val="32"/>
          <w:szCs w:val="32"/>
          <w:shd w:val="clear" w:color="auto" w:fill="FFFFFF"/>
        </w:rPr>
        <w:t>评选程序</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1.班级、个人申报：</w:t>
      </w:r>
      <w:r>
        <w:rPr>
          <w:rFonts w:hint="eastAsia" w:ascii="仿宋_GB2312" w:hAnsi="仿宋_GB2312" w:eastAsia="仿宋_GB2312" w:cs="仿宋_GB2312"/>
          <w:sz w:val="32"/>
          <w:szCs w:val="32"/>
        </w:rPr>
        <w:t>参加评选的班级和学生个人向学院提出申请，分别填写《上海电力大学优良学风班申报表》、《上海电力大学优良学风示范班申报表》、《上海电力大学优良学风先进个人申报表》，根据评选办法规定，认真准备申报材料，按时递交学院进行初评。</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2.学院审核：</w:t>
      </w:r>
      <w:r>
        <w:rPr>
          <w:rFonts w:hint="eastAsia" w:ascii="仿宋_GB2312" w:hAnsi="仿宋_GB2312" w:eastAsia="仿宋_GB2312" w:cs="仿宋_GB2312"/>
          <w:sz w:val="32"/>
          <w:szCs w:val="32"/>
        </w:rPr>
        <w:t>学院按照评选办法和学院的评选细则，组织申报班级、个人进行公开答辩，做好评比结果的公示和审核工作，并按时上报至学生工作部（处）。</w:t>
      </w:r>
    </w:p>
    <w:p>
      <w:pPr>
        <w:ind w:right="10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3.学校审定：</w:t>
      </w:r>
      <w:r>
        <w:rPr>
          <w:rFonts w:hint="eastAsia" w:ascii="仿宋_GB2312" w:hAnsi="仿宋_GB2312" w:eastAsia="仿宋_GB2312" w:cs="仿宋_GB2312"/>
          <w:sz w:val="32"/>
          <w:szCs w:val="32"/>
        </w:rPr>
        <w:t>校学生工作部（处）对学院上报的评比结果进行资格审查，并报校评审委员会审定，确定名单，最后由学校发文公布评比结果。</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第四章  表彰和奖励</w:t>
      </w:r>
    </w:p>
    <w:p>
      <w:pPr>
        <w:ind w:right="100"/>
        <w:jc w:val="distribut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ind w:right="10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widowControl/>
        <w:spacing w:after="90" w:line="315" w:lineRule="atLeast"/>
        <w:jc w:val="center"/>
        <w:rPr>
          <w:rStyle w:val="10"/>
          <w:rFonts w:ascii="黑体" w:hAnsi="黑体" w:eastAsia="黑体" w:cs="黑体"/>
          <w:b w:val="0"/>
          <w:bCs w:val="0"/>
          <w:kern w:val="0"/>
          <w:sz w:val="32"/>
          <w:szCs w:val="32"/>
          <w:shd w:val="clear" w:color="auto" w:fill="FFFFFF"/>
        </w:rPr>
      </w:pPr>
      <w:r>
        <w:rPr>
          <w:rStyle w:val="10"/>
          <w:rFonts w:hint="eastAsia" w:ascii="黑体" w:hAnsi="黑体" w:eastAsia="黑体" w:cs="黑体"/>
          <w:b w:val="0"/>
          <w:bCs w:val="0"/>
          <w:kern w:val="0"/>
          <w:sz w:val="32"/>
          <w:szCs w:val="32"/>
          <w:shd w:val="clear" w:color="auto" w:fill="FFFFFF"/>
        </w:rPr>
        <w:t>第五章  附则</w:t>
      </w:r>
    </w:p>
    <w:p>
      <w:pPr>
        <w:ind w:firstLine="643" w:firstLineChars="200"/>
        <w:jc w:val="left"/>
        <w:rPr>
          <w:rFonts w:hint="eastAsia" w:ascii="仿宋_GB2312" w:hAnsi="仿宋_GB2312" w:eastAsia="仿宋_GB2312" w:cs="仿宋_GB2312"/>
          <w:sz w:val="32"/>
          <w:szCs w:val="32"/>
        </w:rPr>
      </w:pPr>
      <w:r>
        <w:rPr>
          <w:rFonts w:hint="eastAsia" w:ascii="仿宋" w:hAnsi="仿宋" w:eastAsia="仿宋" w:cs="仿宋"/>
          <w:b/>
          <w:kern w:val="0"/>
          <w:sz w:val="32"/>
          <w:szCs w:val="32"/>
        </w:rPr>
        <w:t xml:space="preserve">第十二条 </w:t>
      </w:r>
      <w:r>
        <w:rPr>
          <w:rFonts w:hint="eastAsia" w:ascii="仿宋_GB2312" w:hAnsi="仿宋_GB2312" w:eastAsia="仿宋_GB2312" w:cs="仿宋_GB2312"/>
          <w:sz w:val="32"/>
          <w:szCs w:val="32"/>
        </w:rPr>
        <w:t>本办法自公布之日起实施，原《环境与化学工程学院优良学风集体及个人评选细则》即日起废止。</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环境与化学工程学院</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r>
        <w:rPr>
          <w:rFonts w:ascii="Calibri" w:hAnsi="Calibri"/>
          <w:szCs w:val="22"/>
        </w:rPr>
        <w:pict>
          <v:shape id="_x0000_s1026" o:spid="_x0000_s1026" o:spt="32" type="#_x0000_t32" style="position:absolute;left:0pt;margin-left:1.65pt;margin-top:28.25pt;height:0.75pt;width:442.2pt;z-index:251659264;mso-width-relative:page;mso-height-relative:page;" filled="f" coordsize="21600,21600" o:gfxdata="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HZKK1QAAAAcBAAAPAAAAAAAAAAEAIAAAACIAAABkcnMvZG93bnJldi54&#10;bWxQSwECFAAUAAAACACHTuJAkrO4Vf0BAADRAwAADgAAAAAAAAABACAAAAAkAQAAZHJzL2Uyb0Rv&#10;Yy54bWxQSwUGAAAAAAYABgBZAQAAkwUAAAAA&#10;">
            <v:path arrowok="t"/>
            <v:fill on="f" focussize="0,0"/>
            <v:stroke weight="0.25pt"/>
            <v:imagedata o:title=""/>
            <o:lock v:ext="edit"/>
          </v:shape>
        </w:pict>
      </w:r>
    </w:p>
    <w:p>
      <w:pPr>
        <w:adjustRightInd w:val="0"/>
        <w:snapToGrid w:val="0"/>
        <w:spacing w:line="360" w:lineRule="auto"/>
        <w:rPr>
          <w:rFonts w:ascii="仿宋" w:hAnsi="仿宋" w:eastAsia="仿宋"/>
          <w:sz w:val="28"/>
          <w:szCs w:val="28"/>
        </w:rPr>
      </w:pPr>
      <w:r>
        <w:rPr>
          <w:rFonts w:hint="eastAsia" w:ascii="仿宋_GB2312" w:hAnsi="仿宋_GB2312" w:eastAsia="仿宋_GB2312" w:cs="仿宋_GB2312"/>
          <w:sz w:val="32"/>
          <w:szCs w:val="32"/>
        </w:rPr>
        <w:t>环境与化学工程学院</w:t>
      </w:r>
      <w:r>
        <w:rPr>
          <w:rFonts w:ascii="仿宋" w:hAnsi="仿宋" w:eastAsia="仿宋"/>
          <w:sz w:val="28"/>
          <w:szCs w:val="28"/>
        </w:rPr>
        <w:pict>
          <v:shape id="_x0000_s1027" o:spid="_x0000_s1027" o:spt="32" type="#_x0000_t32" style="position:absolute;left:0pt;margin-left:1.65pt;margin-top:22.1pt;height:1.5pt;width:442.2pt;z-index:251660288;mso-width-relative:page;mso-height-relative:page;" filled="f" coordsize="21600,21600" o:gfxdata="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1rabWAAAABwEAAA8AAAAAAAAAAQAgAAAAIgAAAGRycy9kb3ducmV2&#10;LnhtbFBLAQIUABQAAAAIAIdO4kAkHEtq/gEAANADAAAOAAAAAAAAAAEAIAAAACUBAABkcnMvZTJv&#10;RG9jLnhtbFBLBQYAAAAABgAGAFkBAACVBQAAAAA=&#10;">
            <v:path arrowok="t"/>
            <v:fill on="f" focussize="0,0"/>
            <v:stroke/>
            <v:imagedata o:title=""/>
            <o:lock v:ext="edit"/>
          </v:shape>
        </w:pic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2021年7月6日印发</w:t>
      </w:r>
    </w:p>
    <w:p>
      <w:pPr>
        <w:widowControl/>
        <w:jc w:val="center"/>
        <w:textAlignment w:val="center"/>
        <w:rPr>
          <w:rFonts w:ascii="华文中宋" w:hAnsi="华文中宋" w:eastAsia="华文中宋" w:cs="华文中宋"/>
          <w:b/>
          <w:kern w:val="0"/>
          <w:sz w:val="30"/>
          <w:szCs w:val="30"/>
        </w:rPr>
        <w:sectPr>
          <w:footerReference r:id="rId3" w:type="default"/>
          <w:pgSz w:w="11907" w:h="16840"/>
          <w:pgMar w:top="2098" w:right="1588" w:bottom="1985" w:left="1588" w:header="851" w:footer="992" w:gutter="0"/>
          <w:pgNumType w:fmt="numberInDash" w:start="1"/>
          <w:cols w:space="720" w:num="1"/>
          <w:docGrid w:type="lines" w:linePitch="315" w:charSpace="0"/>
        </w:sectPr>
      </w:pPr>
    </w:p>
    <w:p>
      <w:pPr>
        <w:adjustRightInd w:val="0"/>
        <w:snapToGrid w:val="0"/>
        <w:spacing w:beforeLines="50" w:line="400" w:lineRule="exact"/>
        <w:rPr>
          <w:rFonts w:ascii="黑体" w:hAnsi="黑体" w:eastAsia="黑体"/>
          <w:b/>
          <w:sz w:val="24"/>
        </w:rPr>
      </w:pPr>
      <w:r>
        <w:rPr>
          <w:rFonts w:hint="eastAsia" w:ascii="黑体" w:hAnsi="黑体" w:eastAsia="黑体"/>
          <w:b/>
          <w:sz w:val="24"/>
        </w:rPr>
        <w:t>附件1：</w:t>
      </w:r>
    </w:p>
    <w:p>
      <w:pPr>
        <w:widowControl/>
        <w:spacing w:after="90" w:line="315" w:lineRule="atLeast"/>
        <w:jc w:val="center"/>
        <w:rPr>
          <w:rStyle w:val="10"/>
          <w:rFonts w:ascii="微软雅黑" w:hAnsi="微软雅黑" w:eastAsia="微软雅黑" w:cs="微软雅黑"/>
          <w:kern w:val="0"/>
          <w:szCs w:val="21"/>
          <w:shd w:val="clear" w:color="auto" w:fill="FFFFFF"/>
        </w:rPr>
      </w:pPr>
      <w:r>
        <w:rPr>
          <w:rStyle w:val="10"/>
          <w:rFonts w:hint="eastAsia" w:ascii="微软雅黑" w:hAnsi="微软雅黑" w:eastAsia="微软雅黑" w:cs="微软雅黑"/>
          <w:kern w:val="0"/>
          <w:szCs w:val="21"/>
          <w:shd w:val="clear" w:color="auto" w:fill="FFFFFF"/>
        </w:rPr>
        <w:t>环境与化学工程学院班级学风评估指标</w:t>
      </w:r>
    </w:p>
    <w:p>
      <w:pPr>
        <w:jc w:val="center"/>
      </w:pPr>
      <w:r>
        <w:t>（20</w:t>
      </w:r>
      <w:r>
        <w:rPr>
          <w:rFonts w:hint="eastAsia"/>
        </w:rPr>
        <w:t>21</w:t>
      </w:r>
      <w:r>
        <w:t>年</w:t>
      </w:r>
      <w:r>
        <w:rPr>
          <w:rFonts w:hint="eastAsia"/>
        </w:rPr>
        <w:t>7</w:t>
      </w:r>
      <w:r>
        <w:t>月修订）</w:t>
      </w:r>
    </w:p>
    <w:p>
      <w:pPr>
        <w:jc w:val="center"/>
        <w:rPr>
          <w:b/>
          <w:sz w:val="24"/>
        </w:rPr>
      </w:pPr>
      <w:r>
        <w:rPr>
          <w:rFonts w:hint="eastAsia"/>
          <w:b/>
          <w:sz w:val="24"/>
        </w:rPr>
        <w:t>一、</w:t>
      </w:r>
      <w:r>
        <w:rPr>
          <w:b/>
          <w:sz w:val="24"/>
        </w:rPr>
        <w:t>班级学生综合表现（满分20分）</w:t>
      </w:r>
    </w:p>
    <w:tbl>
      <w:tblPr>
        <w:tblStyle w:val="14"/>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786"/>
        <w:gridCol w:w="444"/>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76" w:type="dxa"/>
            <w:vMerge w:val="restart"/>
            <w:vAlign w:val="center"/>
          </w:tcPr>
          <w:p>
            <w:pPr>
              <w:jc w:val="center"/>
              <w:rPr>
                <w:b/>
              </w:rPr>
            </w:pPr>
            <w:r>
              <w:rPr>
                <w:b/>
              </w:rPr>
              <w:br w:type="page"/>
            </w:r>
            <w:r>
              <w:rPr>
                <w:rFonts w:hint="eastAsia"/>
                <w:b/>
              </w:rPr>
              <w:t>定性考核</w:t>
            </w:r>
          </w:p>
        </w:tc>
        <w:tc>
          <w:tcPr>
            <w:tcW w:w="6786" w:type="dxa"/>
            <w:vMerge w:val="restart"/>
            <w:vAlign w:val="center"/>
          </w:tcPr>
          <w:p>
            <w:pPr>
              <w:jc w:val="center"/>
              <w:rPr>
                <w:b/>
              </w:rPr>
            </w:pPr>
            <w:r>
              <w:rPr>
                <w:rFonts w:hint="eastAsia"/>
                <w:b/>
              </w:rPr>
              <w:t>指标内容</w:t>
            </w:r>
          </w:p>
        </w:tc>
        <w:tc>
          <w:tcPr>
            <w:tcW w:w="1719" w:type="dxa"/>
            <w:gridSpan w:val="4"/>
            <w:vAlign w:val="center"/>
          </w:tcPr>
          <w:p>
            <w:pPr>
              <w:jc w:val="center"/>
              <w:rPr>
                <w:b/>
              </w:rPr>
            </w:pPr>
            <w:r>
              <w:rPr>
                <w:b/>
              </w:rPr>
              <w:t>分值等级</w:t>
            </w:r>
          </w:p>
        </w:tc>
      </w:tr>
      <w:tr>
        <w:trPr>
          <w:cantSplit/>
        </w:trPr>
        <w:tc>
          <w:tcPr>
            <w:tcW w:w="1276" w:type="dxa"/>
            <w:vMerge w:val="continue"/>
            <w:vAlign w:val="center"/>
          </w:tcPr>
          <w:p/>
        </w:tc>
        <w:tc>
          <w:tcPr>
            <w:tcW w:w="6786" w:type="dxa"/>
            <w:vMerge w:val="continue"/>
            <w:vAlign w:val="center"/>
          </w:tcPr>
          <w:p/>
        </w:tc>
        <w:tc>
          <w:tcPr>
            <w:tcW w:w="444" w:type="dxa"/>
            <w:vAlign w:val="center"/>
          </w:tcPr>
          <w:p>
            <w:r>
              <w:t>A</w:t>
            </w:r>
          </w:p>
        </w:tc>
        <w:tc>
          <w:tcPr>
            <w:tcW w:w="425" w:type="dxa"/>
            <w:vAlign w:val="center"/>
          </w:tcPr>
          <w:p>
            <w:r>
              <w:t>B</w:t>
            </w:r>
          </w:p>
        </w:tc>
        <w:tc>
          <w:tcPr>
            <w:tcW w:w="425" w:type="dxa"/>
            <w:vAlign w:val="center"/>
          </w:tcPr>
          <w:p>
            <w:r>
              <w:t>C</w:t>
            </w:r>
          </w:p>
        </w:tc>
        <w:tc>
          <w:tcPr>
            <w:tcW w:w="425" w:type="dxa"/>
            <w:vAlign w:val="center"/>
          </w:tcPr>
          <w:p>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1.1</w:t>
            </w:r>
          </w:p>
          <w:p>
            <w:r>
              <w:t>思想道德</w:t>
            </w:r>
          </w:p>
          <w:p>
            <w:r>
              <w:t>（5分）</w:t>
            </w:r>
          </w:p>
        </w:tc>
        <w:tc>
          <w:tcPr>
            <w:tcW w:w="6786" w:type="dxa"/>
            <w:vAlign w:val="center"/>
          </w:tcPr>
          <w:p>
            <w:r>
              <w:t>1.班级同学思想积极上进，能积极参加政治理论课程学习和实践活动，积极向党组织靠拢，党员、入党积极分子比例高。</w:t>
            </w:r>
          </w:p>
          <w:p>
            <w:r>
              <w:t>2.班级同学恪守大学生行为准则，遵守校纪校规。</w:t>
            </w:r>
          </w:p>
          <w:p>
            <w:r>
              <w:t>3.班级同学遵守校园文明规范，积极开展精神文明创建活动。</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1.2</w:t>
            </w:r>
          </w:p>
          <w:p>
            <w:r>
              <w:t>专业学习</w:t>
            </w:r>
          </w:p>
          <w:p>
            <w:r>
              <w:t>（5分）</w:t>
            </w:r>
          </w:p>
        </w:tc>
        <w:tc>
          <w:tcPr>
            <w:tcW w:w="6786" w:type="dxa"/>
            <w:vAlign w:val="center"/>
          </w:tcPr>
          <w:p>
            <w:r>
              <w:t>1.班级同学学习态度端正，课堂纪律好，抬头率高，作业完成情况良好。</w:t>
            </w:r>
          </w:p>
          <w:p>
            <w:r>
              <w:t>2.班级早自修、上课出勤率高，迟到、早退、旷课情况较少。</w:t>
            </w:r>
          </w:p>
          <w:p>
            <w:r>
              <w:t>3.班级广泛开展学习互助，学风建设有举措，无考试作弊现象。</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1.3</w:t>
            </w:r>
          </w:p>
          <w:p>
            <w:r>
              <w:t>班级工作</w:t>
            </w:r>
          </w:p>
          <w:p>
            <w:r>
              <w:t>（5分）</w:t>
            </w:r>
          </w:p>
        </w:tc>
        <w:tc>
          <w:tcPr>
            <w:tcW w:w="6786" w:type="dxa"/>
            <w:vAlign w:val="center"/>
          </w:tcPr>
          <w:p>
            <w:r>
              <w:t>1.班级同学关心集体，能积极参加集体活动，有强烈的集体荣誉感。</w:t>
            </w:r>
          </w:p>
          <w:p>
            <w:r>
              <w:t>2.班级能定期开展丰富多彩的班级活动，营造良好的班级文化。</w:t>
            </w:r>
          </w:p>
          <w:p>
            <w:r>
              <w:t>3.班级日常工作规范，班干部换届正常，管理民主、班务公开。</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r>
              <w:t>1.4</w:t>
            </w:r>
          </w:p>
          <w:p>
            <w:r>
              <w:t>班级形象</w:t>
            </w:r>
          </w:p>
          <w:p>
            <w:r>
              <w:t>（5分）</w:t>
            </w:r>
          </w:p>
        </w:tc>
        <w:tc>
          <w:tcPr>
            <w:tcW w:w="6786" w:type="dxa"/>
            <w:vAlign w:val="center"/>
          </w:tcPr>
          <w:p>
            <w:r>
              <w:t>1.班级有凝聚力，同学能积极参加校、院系组织的各项活动，并获得较好成绩。</w:t>
            </w:r>
          </w:p>
          <w:p>
            <w:r>
              <w:t>2.学生干部队伍团结、高效，在同学中有较高的威信和号召力，工作卓有成效。</w:t>
            </w:r>
          </w:p>
          <w:p>
            <w:r>
              <w:t>3.班级同学和睦相处，宿舍环境整洁，学习气氛浓厚，文化氛围健康向上。</w:t>
            </w:r>
          </w:p>
        </w:tc>
        <w:tc>
          <w:tcPr>
            <w:tcW w:w="444" w:type="dxa"/>
            <w:vAlign w:val="center"/>
          </w:tcPr>
          <w:p>
            <w:r>
              <w:t>5</w:t>
            </w:r>
          </w:p>
        </w:tc>
        <w:tc>
          <w:tcPr>
            <w:tcW w:w="425" w:type="dxa"/>
            <w:vAlign w:val="center"/>
          </w:tcPr>
          <w:p>
            <w:r>
              <w:t>4</w:t>
            </w:r>
          </w:p>
          <w:p>
            <w:r>
              <w:rPr>
                <w:rFonts w:hint="eastAsia" w:ascii="宋体" w:hAnsi="宋体" w:cs="宋体"/>
              </w:rPr>
              <w:t>∣</w:t>
            </w:r>
          </w:p>
          <w:p>
            <w:r>
              <w:t>3</w:t>
            </w:r>
          </w:p>
        </w:tc>
        <w:tc>
          <w:tcPr>
            <w:tcW w:w="425" w:type="dxa"/>
            <w:vAlign w:val="center"/>
          </w:tcPr>
          <w:p>
            <w:r>
              <w:t>2</w:t>
            </w:r>
          </w:p>
          <w:p>
            <w:r>
              <w:rPr>
                <w:rFonts w:hint="eastAsia" w:ascii="宋体" w:hAnsi="宋体" w:cs="宋体"/>
              </w:rPr>
              <w:t>∣</w:t>
            </w:r>
          </w:p>
          <w:p>
            <w:r>
              <w:t>1</w:t>
            </w:r>
          </w:p>
        </w:tc>
        <w:tc>
          <w:tcPr>
            <w:tcW w:w="425" w:type="dxa"/>
            <w:vAlign w:val="center"/>
          </w:tcPr>
          <w:p>
            <w:r>
              <w:t>0</w:t>
            </w:r>
          </w:p>
        </w:tc>
      </w:tr>
    </w:tbl>
    <w:p>
      <w:pPr>
        <w:jc w:val="center"/>
        <w:rPr>
          <w:b/>
          <w:sz w:val="24"/>
        </w:rPr>
      </w:pPr>
    </w:p>
    <w:p>
      <w:pPr>
        <w:jc w:val="center"/>
        <w:rPr>
          <w:b/>
          <w:sz w:val="24"/>
        </w:rPr>
      </w:pPr>
      <w:r>
        <w:rPr>
          <w:rFonts w:hint="eastAsia"/>
          <w:b/>
          <w:sz w:val="24"/>
        </w:rPr>
        <w:t>二、</w:t>
      </w:r>
      <w:r>
        <w:rPr>
          <w:b/>
          <w:sz w:val="24"/>
        </w:rPr>
        <w:t>班级学风情况评估（满分60分）</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5182"/>
        <w:gridCol w:w="945"/>
        <w:gridCol w:w="449"/>
        <w:gridCol w:w="449"/>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987" w:type="dxa"/>
            <w:vMerge w:val="restart"/>
            <w:vAlign w:val="center"/>
          </w:tcPr>
          <w:p>
            <w:pPr>
              <w:jc w:val="center"/>
              <w:rPr>
                <w:sz w:val="24"/>
              </w:rPr>
            </w:pPr>
            <w:r>
              <w:rPr>
                <w:rFonts w:hint="eastAsia"/>
                <w:sz w:val="24"/>
              </w:rPr>
              <w:t>定量考核</w:t>
            </w:r>
          </w:p>
        </w:tc>
        <w:tc>
          <w:tcPr>
            <w:tcW w:w="5182" w:type="dxa"/>
            <w:vMerge w:val="restart"/>
            <w:vAlign w:val="center"/>
          </w:tcPr>
          <w:p>
            <w:pPr>
              <w:jc w:val="center"/>
              <w:rPr>
                <w:sz w:val="24"/>
              </w:rPr>
            </w:pPr>
            <w:r>
              <w:rPr>
                <w:rFonts w:hint="eastAsia"/>
                <w:sz w:val="24"/>
              </w:rPr>
              <w:t>指标内容</w:t>
            </w:r>
          </w:p>
        </w:tc>
        <w:tc>
          <w:tcPr>
            <w:tcW w:w="2295" w:type="dxa"/>
            <w:gridSpan w:val="4"/>
            <w:vAlign w:val="center"/>
          </w:tcPr>
          <w:p>
            <w:r>
              <w:t>分值等级</w:t>
            </w:r>
          </w:p>
        </w:tc>
      </w:tr>
      <w:tr>
        <w:trPr>
          <w:trHeight w:val="267" w:hRule="atLeast"/>
        </w:trPr>
        <w:tc>
          <w:tcPr>
            <w:tcW w:w="1987" w:type="dxa"/>
            <w:vMerge w:val="continue"/>
          </w:tcPr>
          <w:p>
            <w:pPr>
              <w:rPr>
                <w:b/>
                <w:sz w:val="24"/>
              </w:rPr>
            </w:pPr>
          </w:p>
        </w:tc>
        <w:tc>
          <w:tcPr>
            <w:tcW w:w="5182" w:type="dxa"/>
            <w:vMerge w:val="continue"/>
          </w:tcPr>
          <w:p>
            <w:pPr>
              <w:rPr>
                <w:b/>
                <w:sz w:val="24"/>
              </w:rPr>
            </w:pPr>
          </w:p>
        </w:tc>
        <w:tc>
          <w:tcPr>
            <w:tcW w:w="945" w:type="dxa"/>
          </w:tcPr>
          <w:p>
            <w:pPr>
              <w:jc w:val="center"/>
              <w:rPr>
                <w:sz w:val="24"/>
              </w:rPr>
            </w:pPr>
            <w:r>
              <w:rPr>
                <w:rFonts w:hint="eastAsia"/>
                <w:sz w:val="24"/>
              </w:rPr>
              <w:t>A</w:t>
            </w:r>
          </w:p>
        </w:tc>
        <w:tc>
          <w:tcPr>
            <w:tcW w:w="449" w:type="dxa"/>
          </w:tcPr>
          <w:p>
            <w:pPr>
              <w:jc w:val="center"/>
              <w:rPr>
                <w:sz w:val="24"/>
              </w:rPr>
            </w:pPr>
            <w:r>
              <w:rPr>
                <w:rFonts w:hint="eastAsia"/>
                <w:sz w:val="24"/>
              </w:rPr>
              <w:t>B</w:t>
            </w:r>
          </w:p>
        </w:tc>
        <w:tc>
          <w:tcPr>
            <w:tcW w:w="449" w:type="dxa"/>
          </w:tcPr>
          <w:p>
            <w:pPr>
              <w:jc w:val="center"/>
              <w:rPr>
                <w:sz w:val="24"/>
              </w:rPr>
            </w:pPr>
            <w:r>
              <w:rPr>
                <w:rFonts w:hint="eastAsia"/>
                <w:sz w:val="24"/>
              </w:rPr>
              <w:t>C</w:t>
            </w:r>
          </w:p>
        </w:tc>
        <w:tc>
          <w:tcPr>
            <w:tcW w:w="452" w:type="dxa"/>
          </w:tcPr>
          <w:p>
            <w:pPr>
              <w:jc w:val="center"/>
              <w:rPr>
                <w:sz w:val="24"/>
              </w:rPr>
            </w:pPr>
            <w:r>
              <w:rPr>
                <w:rFonts w:hint="eastAsia"/>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7" w:type="dxa"/>
          </w:tcPr>
          <w:p>
            <w:pPr>
              <w:rPr>
                <w:szCs w:val="21"/>
              </w:rPr>
            </w:pPr>
            <w:r>
              <w:rPr>
                <w:rFonts w:hint="eastAsia"/>
                <w:szCs w:val="21"/>
              </w:rPr>
              <w:t>班级学风状况</w:t>
            </w:r>
          </w:p>
          <w:p>
            <w:pPr>
              <w:rPr>
                <w:szCs w:val="21"/>
              </w:rPr>
            </w:pPr>
            <w:r>
              <w:rPr>
                <w:rFonts w:hint="eastAsia"/>
                <w:szCs w:val="21"/>
              </w:rPr>
              <w:t>（15分）</w:t>
            </w:r>
          </w:p>
        </w:tc>
        <w:tc>
          <w:tcPr>
            <w:tcW w:w="5182" w:type="dxa"/>
          </w:tcPr>
          <w:p>
            <w:pPr>
              <w:rPr>
                <w:rFonts w:ascii="宋体" w:hAnsi="宋体"/>
                <w:szCs w:val="21"/>
              </w:rPr>
            </w:pPr>
            <w:r>
              <w:rPr>
                <w:rFonts w:hint="eastAsia" w:ascii="宋体" w:hAnsi="宋体"/>
                <w:szCs w:val="21"/>
              </w:rPr>
              <w:t>1.班级同学学习目的明确，学习态度端正，学习风气浓厚。</w:t>
            </w:r>
          </w:p>
          <w:p>
            <w:pPr>
              <w:rPr>
                <w:rFonts w:ascii="宋体" w:hAnsi="宋体"/>
                <w:b/>
                <w:szCs w:val="21"/>
              </w:rPr>
            </w:pPr>
            <w:r>
              <w:rPr>
                <w:rFonts w:hint="eastAsia" w:ascii="宋体" w:hAnsi="宋体"/>
                <w:szCs w:val="21"/>
              </w:rPr>
              <w:t>2.班级成员尊敬老师，课堂态度积极，师生有良好的互动关系。</w:t>
            </w:r>
          </w:p>
          <w:p>
            <w:pPr>
              <w:rPr>
                <w:b/>
                <w:sz w:val="24"/>
              </w:rPr>
            </w:pPr>
            <w:r>
              <w:rPr>
                <w:rFonts w:hint="eastAsia" w:ascii="宋体" w:hAnsi="宋体"/>
                <w:szCs w:val="21"/>
              </w:rPr>
              <w:t>3.上课出勤率高，迟到、早退现象少，认真完成课后作业。</w:t>
            </w:r>
          </w:p>
        </w:tc>
        <w:tc>
          <w:tcPr>
            <w:tcW w:w="945" w:type="dxa"/>
          </w:tcPr>
          <w:p>
            <w:pPr>
              <w:jc w:val="center"/>
              <w:rPr>
                <w:b/>
                <w:sz w:val="24"/>
              </w:rPr>
            </w:pPr>
          </w:p>
          <w:p>
            <w:pPr>
              <w:jc w:val="center"/>
              <w:rPr>
                <w:b/>
                <w:sz w:val="24"/>
              </w:rPr>
            </w:pPr>
            <w:r>
              <w:rPr>
                <w:rFonts w:hint="eastAsia"/>
                <w:b/>
                <w:sz w:val="24"/>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5</w:t>
            </w:r>
          </w:p>
        </w:tc>
        <w:tc>
          <w:tcPr>
            <w:tcW w:w="449" w:type="dxa"/>
          </w:tcPr>
          <w:p>
            <w:r>
              <w:rPr>
                <w:rFonts w:hint="eastAsia"/>
              </w:rPr>
              <w:t>4</w:t>
            </w:r>
          </w:p>
          <w:p>
            <w:r>
              <w:rPr>
                <w:rFonts w:hint="eastAsia" w:ascii="宋体" w:hAnsi="宋体" w:cs="宋体"/>
              </w:rPr>
              <w:t>∣</w:t>
            </w:r>
          </w:p>
          <w:p>
            <w:pPr>
              <w:jc w:val="center"/>
              <w:rPr>
                <w:b/>
                <w:sz w:val="24"/>
              </w:rPr>
            </w:pPr>
            <w:r>
              <w:rPr>
                <w:rFonts w:hint="eastAsia"/>
                <w:b/>
                <w:sz w:val="24"/>
              </w:rPr>
              <w:t>1</w:t>
            </w:r>
          </w:p>
        </w:tc>
        <w:tc>
          <w:tcPr>
            <w:tcW w:w="452" w:type="dxa"/>
          </w:tcPr>
          <w:p>
            <w:pPr>
              <w:jc w:val="center"/>
              <w:rPr>
                <w:b/>
                <w:sz w:val="24"/>
              </w:rPr>
            </w:pPr>
          </w:p>
          <w:p>
            <w:pPr>
              <w:jc w:val="center"/>
              <w:rPr>
                <w:b/>
                <w:sz w:val="24"/>
              </w:rPr>
            </w:pPr>
            <w:r>
              <w:rPr>
                <w:rFonts w:hint="eastAsia"/>
                <w:b/>
                <w:sz w:val="24"/>
              </w:rPr>
              <w:t>0</w:t>
            </w:r>
          </w:p>
        </w:tc>
      </w:tr>
      <w:tr>
        <w:tc>
          <w:tcPr>
            <w:tcW w:w="1987" w:type="dxa"/>
          </w:tcPr>
          <w:p>
            <w:r>
              <w:t>考试成绩及格率（25分）</w:t>
            </w:r>
          </w:p>
        </w:tc>
        <w:tc>
          <w:tcPr>
            <w:tcW w:w="5182" w:type="dxa"/>
          </w:tcPr>
          <w:p>
            <w:pPr>
              <w:rPr>
                <w:szCs w:val="21"/>
              </w:rPr>
            </w:pPr>
            <w:r>
              <w:rPr>
                <w:rFonts w:hint="eastAsia"/>
                <w:szCs w:val="21"/>
              </w:rPr>
              <w:t>1.及格率80%以上   A等</w:t>
            </w:r>
          </w:p>
          <w:p>
            <w:pPr>
              <w:rPr>
                <w:szCs w:val="21"/>
              </w:rPr>
            </w:pPr>
            <w:r>
              <w:rPr>
                <w:rFonts w:hint="eastAsia"/>
                <w:szCs w:val="21"/>
              </w:rPr>
              <w:t>2.及格率70-79%    B等</w:t>
            </w:r>
          </w:p>
          <w:p>
            <w:pPr>
              <w:rPr>
                <w:szCs w:val="21"/>
              </w:rPr>
            </w:pPr>
            <w:r>
              <w:rPr>
                <w:rFonts w:hint="eastAsia"/>
                <w:szCs w:val="21"/>
              </w:rPr>
              <w:t>3.及格率60-69%    C等</w:t>
            </w:r>
          </w:p>
          <w:p>
            <w:pPr>
              <w:rPr>
                <w:szCs w:val="21"/>
              </w:rPr>
            </w:pPr>
            <w:r>
              <w:rPr>
                <w:rFonts w:hint="eastAsia"/>
                <w:szCs w:val="21"/>
              </w:rPr>
              <w:t>4.及格率55-59%    D等</w:t>
            </w:r>
          </w:p>
        </w:tc>
        <w:tc>
          <w:tcPr>
            <w:tcW w:w="945" w:type="dxa"/>
          </w:tcPr>
          <w:p>
            <w:pPr>
              <w:jc w:val="center"/>
              <w:rPr>
                <w:b/>
                <w:sz w:val="24"/>
              </w:rPr>
            </w:pPr>
          </w:p>
          <w:p>
            <w:pPr>
              <w:jc w:val="center"/>
              <w:rPr>
                <w:b/>
                <w:sz w:val="24"/>
              </w:rPr>
            </w:pPr>
            <w:r>
              <w:rPr>
                <w:rFonts w:hint="eastAsia"/>
                <w:b/>
                <w:sz w:val="24"/>
              </w:rPr>
              <w:t>25</w:t>
            </w:r>
          </w:p>
        </w:tc>
        <w:tc>
          <w:tcPr>
            <w:tcW w:w="449" w:type="dxa"/>
          </w:tcPr>
          <w:p>
            <w:r>
              <w:rPr>
                <w:rFonts w:hint="eastAsia"/>
              </w:rPr>
              <w:t>24</w:t>
            </w:r>
          </w:p>
          <w:p>
            <w:r>
              <w:rPr>
                <w:rFonts w:hint="eastAsia" w:ascii="宋体" w:hAnsi="宋体" w:cs="宋体"/>
              </w:rPr>
              <w:t>∣</w:t>
            </w:r>
          </w:p>
          <w:p>
            <w:pPr>
              <w:jc w:val="center"/>
              <w:rPr>
                <w:b/>
                <w:sz w:val="24"/>
              </w:rPr>
            </w:pPr>
            <w:r>
              <w:rPr>
                <w:rFonts w:hint="eastAsia"/>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5</w:t>
            </w:r>
          </w:p>
        </w:tc>
        <w:tc>
          <w:tcPr>
            <w:tcW w:w="452" w:type="dxa"/>
          </w:tcPr>
          <w:p>
            <w:r>
              <w:rPr>
                <w:rFonts w:hint="eastAsia"/>
              </w:rPr>
              <w:t>4</w:t>
            </w:r>
          </w:p>
          <w:p>
            <w:r>
              <w:rPr>
                <w:rFonts w:hint="eastAsia" w:ascii="宋体" w:hAnsi="宋体" w:cs="宋体"/>
              </w:rPr>
              <w:t>∣</w:t>
            </w:r>
          </w:p>
          <w:p>
            <w:pPr>
              <w:jc w:val="center"/>
              <w:rPr>
                <w:b/>
                <w:sz w:val="24"/>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7" w:type="dxa"/>
          </w:tcPr>
          <w:p>
            <w:r>
              <w:t>考试成绩优秀率</w:t>
            </w:r>
          </w:p>
          <w:p>
            <w:pPr>
              <w:rPr>
                <w:b/>
                <w:sz w:val="24"/>
              </w:rPr>
            </w:pPr>
            <w:r>
              <w:rPr>
                <w:rFonts w:hint="eastAsia"/>
              </w:rPr>
              <w:t>（20分）</w:t>
            </w:r>
          </w:p>
        </w:tc>
        <w:tc>
          <w:tcPr>
            <w:tcW w:w="5182" w:type="dxa"/>
          </w:tcPr>
          <w:p>
            <w:pPr>
              <w:rPr>
                <w:szCs w:val="21"/>
              </w:rPr>
            </w:pPr>
            <w:r>
              <w:rPr>
                <w:rFonts w:hint="eastAsia"/>
                <w:szCs w:val="21"/>
              </w:rPr>
              <w:t>1.优秀率40%以上   A等</w:t>
            </w:r>
          </w:p>
          <w:p>
            <w:pPr>
              <w:rPr>
                <w:szCs w:val="21"/>
              </w:rPr>
            </w:pPr>
            <w:r>
              <w:rPr>
                <w:rFonts w:hint="eastAsia"/>
                <w:szCs w:val="21"/>
              </w:rPr>
              <w:t>2.优秀率35-39%    B等</w:t>
            </w:r>
          </w:p>
          <w:p>
            <w:pPr>
              <w:rPr>
                <w:szCs w:val="21"/>
              </w:rPr>
            </w:pPr>
            <w:r>
              <w:rPr>
                <w:rFonts w:hint="eastAsia"/>
                <w:szCs w:val="21"/>
              </w:rPr>
              <w:t>3.优秀率30-34%    C等</w:t>
            </w:r>
          </w:p>
          <w:p>
            <w:pPr>
              <w:rPr>
                <w:b/>
                <w:sz w:val="24"/>
              </w:rPr>
            </w:pPr>
            <w:r>
              <w:rPr>
                <w:rFonts w:hint="eastAsia"/>
                <w:szCs w:val="21"/>
              </w:rPr>
              <w:t>4.优秀率25-29%    D等</w:t>
            </w:r>
          </w:p>
        </w:tc>
        <w:tc>
          <w:tcPr>
            <w:tcW w:w="945" w:type="dxa"/>
          </w:tcPr>
          <w:p>
            <w:pPr>
              <w:jc w:val="center"/>
              <w:rPr>
                <w:b/>
                <w:sz w:val="24"/>
              </w:rPr>
            </w:pPr>
            <w:r>
              <w:rPr>
                <w:rFonts w:hint="eastAsia"/>
                <w:b/>
                <w:sz w:val="24"/>
              </w:rPr>
              <w:t xml:space="preserve"> </w:t>
            </w:r>
          </w:p>
          <w:p>
            <w:pPr>
              <w:ind w:firstLine="241" w:firstLineChars="100"/>
              <w:rPr>
                <w:b/>
                <w:sz w:val="24"/>
              </w:rPr>
            </w:pPr>
            <w:r>
              <w:rPr>
                <w:rFonts w:hint="eastAsia"/>
                <w:b/>
                <w:sz w:val="24"/>
              </w:rPr>
              <w:t>20</w:t>
            </w:r>
          </w:p>
        </w:tc>
        <w:tc>
          <w:tcPr>
            <w:tcW w:w="449" w:type="dxa"/>
          </w:tcPr>
          <w:p>
            <w:r>
              <w:rPr>
                <w:rFonts w:hint="eastAsia"/>
              </w:rPr>
              <w:t>19</w:t>
            </w:r>
          </w:p>
          <w:p>
            <w:r>
              <w:rPr>
                <w:rFonts w:hint="eastAsia" w:ascii="宋体" w:hAnsi="宋体" w:cs="宋体"/>
              </w:rPr>
              <w:t>∣</w:t>
            </w:r>
          </w:p>
          <w:p>
            <w:pPr>
              <w:jc w:val="center"/>
              <w:rPr>
                <w:b/>
                <w:sz w:val="24"/>
              </w:rPr>
            </w:pPr>
            <w:r>
              <w:rPr>
                <w:rFonts w:hint="eastAsia"/>
              </w:rPr>
              <w:t>15</w:t>
            </w:r>
          </w:p>
        </w:tc>
        <w:tc>
          <w:tcPr>
            <w:tcW w:w="449" w:type="dxa"/>
          </w:tcPr>
          <w:p>
            <w:r>
              <w:rPr>
                <w:rFonts w:hint="eastAsia"/>
              </w:rPr>
              <w:t>14</w:t>
            </w:r>
          </w:p>
          <w:p>
            <w:r>
              <w:rPr>
                <w:rFonts w:hint="eastAsia" w:ascii="宋体" w:hAnsi="宋体" w:cs="宋体"/>
              </w:rPr>
              <w:t>∣</w:t>
            </w:r>
          </w:p>
          <w:p>
            <w:pPr>
              <w:jc w:val="center"/>
              <w:rPr>
                <w:b/>
                <w:sz w:val="24"/>
              </w:rPr>
            </w:pPr>
            <w:r>
              <w:rPr>
                <w:rFonts w:hint="eastAsia"/>
              </w:rPr>
              <w:t>10</w:t>
            </w:r>
          </w:p>
        </w:tc>
        <w:tc>
          <w:tcPr>
            <w:tcW w:w="452" w:type="dxa"/>
          </w:tcPr>
          <w:p>
            <w:r>
              <w:rPr>
                <w:rFonts w:hint="eastAsia"/>
              </w:rPr>
              <w:t>9</w:t>
            </w:r>
          </w:p>
          <w:p>
            <w:r>
              <w:rPr>
                <w:rFonts w:hint="eastAsia" w:ascii="宋体" w:hAnsi="宋体" w:cs="宋体"/>
              </w:rPr>
              <w:t>∣</w:t>
            </w:r>
          </w:p>
          <w:p>
            <w:pPr>
              <w:jc w:val="center"/>
              <w:rPr>
                <w:b/>
                <w:sz w:val="24"/>
              </w:rPr>
            </w:pPr>
            <w:r>
              <w:rPr>
                <w:rFonts w:hint="eastAsia"/>
              </w:rPr>
              <w:t>0</w:t>
            </w:r>
          </w:p>
        </w:tc>
      </w:tr>
    </w:tbl>
    <w:p>
      <w:r>
        <w:rPr>
          <w:rFonts w:hint="eastAsia"/>
        </w:rPr>
        <w:t>备注：</w:t>
      </w:r>
    </w:p>
    <w:p>
      <w:r>
        <w:rPr>
          <w:rFonts w:hint="eastAsia"/>
        </w:rPr>
        <w:t>1、</w:t>
      </w:r>
      <w:r>
        <w:rPr>
          <w:b/>
        </w:rPr>
        <w:t>考试及格率</w:t>
      </w:r>
      <w:r>
        <w:rPr>
          <w:rFonts w:hint="eastAsia"/>
          <w:b/>
        </w:rPr>
        <w:t>：</w:t>
      </w:r>
      <w:r>
        <w:t>是指在一学</w:t>
      </w:r>
      <w:r>
        <w:rPr>
          <w:rFonts w:hint="eastAsia"/>
        </w:rPr>
        <w:t>年</w:t>
      </w:r>
      <w:r>
        <w:t>内，所选课程的最终记载成绩均在学分绩点1.0（即60分）以上的学生人数占班级总人数的百分比。及格率每增加一个百分点，得分增加一分，小数点后四舍五入取整。</w:t>
      </w:r>
    </w:p>
    <w:p>
      <w:r>
        <w:rPr>
          <w:rFonts w:hint="eastAsia"/>
          <w:b/>
        </w:rPr>
        <w:t>2</w:t>
      </w:r>
      <w:r>
        <w:rPr>
          <w:rFonts w:hint="eastAsia"/>
        </w:rPr>
        <w:t>、</w:t>
      </w:r>
      <w:r>
        <w:rPr>
          <w:b/>
        </w:rPr>
        <w:t>考试成绩优秀率</w:t>
      </w:r>
      <w:r>
        <w:rPr>
          <w:rFonts w:hint="eastAsia"/>
          <w:b/>
        </w:rPr>
        <w:t>：</w:t>
      </w:r>
      <w:r>
        <w:t>是指所选课程的最终记载成绩加权平均学分绩点在3.0（即平均成绩在80分）以上的学生人数占本班学生总数的百分率。优秀率每增加一个百分点，得分增加一分，小数点后四舍五入取整</w:t>
      </w:r>
      <w:r>
        <w:rPr>
          <w:rFonts w:hint="eastAsia"/>
        </w:rPr>
        <w:t>。</w:t>
      </w:r>
    </w:p>
    <w:p/>
    <w:p>
      <w:pPr>
        <w:jc w:val="center"/>
        <w:rPr>
          <w:b/>
          <w:sz w:val="24"/>
        </w:rPr>
      </w:pPr>
      <w:r>
        <w:rPr>
          <w:rFonts w:hint="eastAsia"/>
          <w:b/>
          <w:sz w:val="24"/>
        </w:rPr>
        <w:t>三、</w:t>
      </w:r>
      <w:r>
        <w:rPr>
          <w:b/>
          <w:sz w:val="24"/>
        </w:rPr>
        <w:t>班级学风建设情况评估（10分）</w:t>
      </w:r>
    </w:p>
    <w:p>
      <w:pPr>
        <w:ind w:firstLine="420" w:firstLineChars="200"/>
      </w:pPr>
      <w:r>
        <w:t>班级针对提高本班学习成绩及学风有具体有效措施，有详细的方案及执行情况记录（满一学期以上），视具体执行情况及成效，给予1-10分的加分。</w:t>
      </w:r>
    </w:p>
    <w:p>
      <w:pPr>
        <w:ind w:firstLine="420" w:firstLineChars="200"/>
      </w:pPr>
    </w:p>
    <w:p>
      <w:pPr>
        <w:jc w:val="center"/>
        <w:rPr>
          <w:b/>
          <w:sz w:val="24"/>
        </w:rPr>
      </w:pPr>
      <w:r>
        <w:rPr>
          <w:rFonts w:hint="eastAsia"/>
          <w:b/>
          <w:sz w:val="24"/>
        </w:rPr>
        <w:t>四、</w:t>
      </w:r>
      <w:r>
        <w:rPr>
          <w:b/>
          <w:sz w:val="24"/>
        </w:rPr>
        <w:t>附加分（按照10%的权重计入总得分）</w:t>
      </w:r>
    </w:p>
    <w:p>
      <w:r>
        <w:t>有下列情况之一者可以加分：</w:t>
      </w:r>
    </w:p>
    <w:tbl>
      <w:tblPr>
        <w:tblStyle w:val="14"/>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54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260" w:type="dxa"/>
            <w:gridSpan w:val="2"/>
            <w:vAlign w:val="center"/>
          </w:tcPr>
          <w:p>
            <w:r>
              <w:rPr>
                <w:rFonts w:hint="eastAsia"/>
              </w:rPr>
              <w:t>定量考核</w:t>
            </w:r>
          </w:p>
        </w:tc>
        <w:tc>
          <w:tcPr>
            <w:tcW w:w="540" w:type="dxa"/>
            <w:vAlign w:val="center"/>
          </w:tcPr>
          <w:p>
            <w:r>
              <w:t>分值</w:t>
            </w:r>
          </w:p>
        </w:tc>
        <w:tc>
          <w:tcPr>
            <w:tcW w:w="8280" w:type="dxa"/>
            <w:vAlign w:val="center"/>
          </w:tcPr>
          <w:p>
            <w:r>
              <w:t>评估参考标准及权重</w:t>
            </w:r>
          </w:p>
        </w:tc>
      </w:tr>
      <w:tr>
        <w:trPr>
          <w:trHeight w:val="300" w:hRule="atLeast"/>
        </w:trPr>
        <w:tc>
          <w:tcPr>
            <w:tcW w:w="360" w:type="dxa"/>
            <w:vMerge w:val="restart"/>
            <w:vAlign w:val="center"/>
          </w:tcPr>
          <w:p>
            <w:r>
              <w:t>1</w:t>
            </w:r>
          </w:p>
        </w:tc>
        <w:tc>
          <w:tcPr>
            <w:tcW w:w="900" w:type="dxa"/>
            <w:vMerge w:val="restart"/>
            <w:vAlign w:val="center"/>
          </w:tcPr>
          <w:p>
            <w:r>
              <w:t>科技创新及学科竞赛</w:t>
            </w:r>
          </w:p>
        </w:tc>
        <w:tc>
          <w:tcPr>
            <w:tcW w:w="540" w:type="dxa"/>
            <w:vAlign w:val="center"/>
          </w:tcPr>
          <w:p>
            <w:r>
              <w:t>10</w:t>
            </w:r>
          </w:p>
        </w:tc>
        <w:tc>
          <w:tcPr>
            <w:tcW w:w="8280" w:type="dxa"/>
            <w:vAlign w:val="center"/>
          </w:tcPr>
          <w:p>
            <w:r>
              <w:t>班级学生有3人次以上（不含3人次）参加校级及校级以上科技创新及学科竞赛并获奖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班级学生有3人次以上（不含3人次）参加校级及校级以上科技创新及学科竞赛</w:t>
            </w:r>
          </w:p>
        </w:tc>
      </w:tr>
      <w:tr>
        <w:trPr>
          <w:trHeight w:val="327"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班级学生有1－3人次参加校级及校级以上科技创新及学科竞赛并获奖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班级学生有1－3人次参加校级及校级以上科技创新及学科竞赛</w:t>
            </w:r>
          </w:p>
        </w:tc>
      </w:tr>
      <w:tr>
        <w:trPr>
          <w:trHeight w:val="311" w:hRule="atLeast"/>
        </w:trPr>
        <w:tc>
          <w:tcPr>
            <w:tcW w:w="360" w:type="dxa"/>
            <w:vMerge w:val="restart"/>
            <w:vAlign w:val="center"/>
          </w:tcPr>
          <w:p>
            <w:r>
              <w:t>2</w:t>
            </w:r>
          </w:p>
        </w:tc>
        <w:tc>
          <w:tcPr>
            <w:tcW w:w="900" w:type="dxa"/>
            <w:vMerge w:val="restart"/>
            <w:vAlign w:val="center"/>
          </w:tcPr>
          <w:p>
            <w:r>
              <w:t>发表学术作品或论文</w:t>
            </w:r>
          </w:p>
        </w:tc>
        <w:tc>
          <w:tcPr>
            <w:tcW w:w="540" w:type="dxa"/>
            <w:vAlign w:val="center"/>
          </w:tcPr>
          <w:p>
            <w:r>
              <w:t>10</w:t>
            </w:r>
          </w:p>
        </w:tc>
        <w:tc>
          <w:tcPr>
            <w:tcW w:w="8280" w:type="dxa"/>
            <w:vAlign w:val="center"/>
          </w:tcPr>
          <w:p>
            <w:r>
              <w:t>班级学生在校内外正式出版物上发表文章10篇以上（不含10篇），学术作品或论文3篇以上（不含3篇），且署名上海电力</w:t>
            </w:r>
            <w:r>
              <w:rPr>
                <w:rFonts w:hint="eastAsia"/>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班级学生在校内外正式出版物上发表文章10－5篇（不含5篇），学术作品或论文1－3篇（含3篇），且署名上海电力</w:t>
            </w:r>
            <w:r>
              <w:rPr>
                <w:rFonts w:hint="eastAsia"/>
              </w:rPr>
              <w:t>大学</w:t>
            </w:r>
          </w:p>
        </w:tc>
      </w:tr>
      <w:tr>
        <w:trPr>
          <w:trHeight w:val="277"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班级学生在校内外正式出版物上发表文章1－5篇，且署名上海电力</w:t>
            </w:r>
            <w:r>
              <w:rPr>
                <w:rFonts w:hint="eastAsia"/>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360" w:type="dxa"/>
            <w:vMerge w:val="restart"/>
            <w:vAlign w:val="center"/>
          </w:tcPr>
          <w:p>
            <w:r>
              <w:t>3</w:t>
            </w:r>
          </w:p>
        </w:tc>
        <w:tc>
          <w:tcPr>
            <w:tcW w:w="900" w:type="dxa"/>
            <w:vMerge w:val="restart"/>
            <w:vAlign w:val="center"/>
          </w:tcPr>
          <w:p>
            <w:r>
              <w:t>校园活动及文体竞赛</w:t>
            </w:r>
          </w:p>
        </w:tc>
        <w:tc>
          <w:tcPr>
            <w:tcW w:w="540" w:type="dxa"/>
            <w:vAlign w:val="center"/>
          </w:tcPr>
          <w:p>
            <w:r>
              <w:t>10</w:t>
            </w:r>
          </w:p>
        </w:tc>
        <w:tc>
          <w:tcPr>
            <w:tcW w:w="8280" w:type="dxa"/>
            <w:vAlign w:val="center"/>
          </w:tcPr>
          <w:p>
            <w:r>
              <w:t>班级学生在校级及校级以上各类活动、比赛中获奖10项以上（不含10项）</w:t>
            </w:r>
          </w:p>
        </w:tc>
      </w:tr>
      <w:tr>
        <w:trPr>
          <w:trHeight w:val="357"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班级学生在校级及校级以上各类活动、比赛中获奖5项以上（不含5项）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班级学生在校级及校级以上各类活动、比赛中获奖（或获二级院系各类活动、比赛一等奖）1-5项，</w:t>
            </w:r>
          </w:p>
        </w:tc>
      </w:tr>
      <w:tr>
        <w:trPr>
          <w:trHeight w:val="295"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班级学生积极参加二级院系各类活动、比赛并获奖5项及以上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360" w:type="dxa"/>
            <w:vMerge w:val="restart"/>
            <w:vAlign w:val="center"/>
          </w:tcPr>
          <w:p>
            <w:r>
              <w:t>4</w:t>
            </w:r>
          </w:p>
        </w:tc>
        <w:tc>
          <w:tcPr>
            <w:tcW w:w="900" w:type="dxa"/>
            <w:vMerge w:val="restart"/>
            <w:vAlign w:val="center"/>
          </w:tcPr>
          <w:p>
            <w:r>
              <w:t>寝室</w:t>
            </w:r>
          </w:p>
          <w:p>
            <w:r>
              <w:t>评比</w:t>
            </w:r>
          </w:p>
        </w:tc>
        <w:tc>
          <w:tcPr>
            <w:tcW w:w="540" w:type="dxa"/>
            <w:vAlign w:val="center"/>
          </w:tcPr>
          <w:p>
            <w:r>
              <w:t>10</w:t>
            </w:r>
          </w:p>
        </w:tc>
        <w:tc>
          <w:tcPr>
            <w:tcW w:w="8280" w:type="dxa"/>
            <w:vAlign w:val="center"/>
          </w:tcPr>
          <w:p>
            <w:r>
              <w:t>班级有</w:t>
            </w:r>
            <w:r>
              <w:rPr>
                <w:rFonts w:hint="eastAsia"/>
              </w:rPr>
              <w:t>寝室获得“最美寝室”一等奖，或2个及以上</w:t>
            </w:r>
            <w:r>
              <w:t>“</w:t>
            </w:r>
            <w:bookmarkStart w:id="0" w:name="OLE_LINK1"/>
            <w:r>
              <w:rPr>
                <w:rFonts w:hint="eastAsia"/>
              </w:rPr>
              <w:t>最美</w:t>
            </w:r>
            <w:r>
              <w:t>寝室</w:t>
            </w:r>
            <w:bookmarkEnd w:id="0"/>
            <w:r>
              <w:t>”</w:t>
            </w: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360" w:type="dxa"/>
            <w:vMerge w:val="continue"/>
            <w:vAlign w:val="center"/>
          </w:tcPr>
          <w:p/>
        </w:tc>
        <w:tc>
          <w:tcPr>
            <w:tcW w:w="900" w:type="dxa"/>
            <w:vMerge w:val="continue"/>
            <w:vAlign w:val="center"/>
          </w:tcPr>
          <w:p/>
        </w:tc>
        <w:tc>
          <w:tcPr>
            <w:tcW w:w="540" w:type="dxa"/>
            <w:vAlign w:val="center"/>
          </w:tcPr>
          <w:p>
            <w:r>
              <w:t>8</w:t>
            </w:r>
          </w:p>
        </w:tc>
        <w:tc>
          <w:tcPr>
            <w:tcW w:w="8280" w:type="dxa"/>
            <w:vAlign w:val="center"/>
          </w:tcPr>
          <w:p>
            <w:r>
              <w:t>班级有</w:t>
            </w:r>
            <w:r>
              <w:rPr>
                <w:rFonts w:hint="eastAsia"/>
              </w:rPr>
              <w:t>寝室获得“最美寝室”二等奖，或3个及以上</w:t>
            </w:r>
            <w:r>
              <w:t>“</w:t>
            </w:r>
            <w:r>
              <w:rPr>
                <w:rFonts w:hint="eastAsia"/>
              </w:rPr>
              <w:t>最美</w:t>
            </w:r>
            <w:r>
              <w:t>寝室”</w:t>
            </w: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360" w:type="dxa"/>
            <w:vMerge w:val="continue"/>
            <w:vAlign w:val="center"/>
          </w:tcPr>
          <w:p/>
        </w:tc>
        <w:tc>
          <w:tcPr>
            <w:tcW w:w="900" w:type="dxa"/>
            <w:vMerge w:val="continue"/>
            <w:vAlign w:val="center"/>
          </w:tcPr>
          <w:p/>
        </w:tc>
        <w:tc>
          <w:tcPr>
            <w:tcW w:w="540" w:type="dxa"/>
            <w:vAlign w:val="center"/>
          </w:tcPr>
          <w:p>
            <w:r>
              <w:t>6</w:t>
            </w:r>
          </w:p>
        </w:tc>
        <w:tc>
          <w:tcPr>
            <w:tcW w:w="8280" w:type="dxa"/>
            <w:vAlign w:val="center"/>
          </w:tcPr>
          <w:p>
            <w:r>
              <w:t>班级有</w:t>
            </w:r>
            <w:r>
              <w:rPr>
                <w:rFonts w:hint="eastAsia"/>
              </w:rPr>
              <w:t>寝室获得“最美寝室”三等奖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trPr>
        <w:tc>
          <w:tcPr>
            <w:tcW w:w="360" w:type="dxa"/>
            <w:vMerge w:val="continue"/>
            <w:vAlign w:val="center"/>
          </w:tcPr>
          <w:p/>
        </w:tc>
        <w:tc>
          <w:tcPr>
            <w:tcW w:w="900" w:type="dxa"/>
            <w:vMerge w:val="continue"/>
            <w:vAlign w:val="center"/>
          </w:tcPr>
          <w:p/>
        </w:tc>
        <w:tc>
          <w:tcPr>
            <w:tcW w:w="540" w:type="dxa"/>
            <w:vAlign w:val="center"/>
          </w:tcPr>
          <w:p>
            <w:r>
              <w:t>4</w:t>
            </w:r>
          </w:p>
        </w:tc>
        <w:tc>
          <w:tcPr>
            <w:tcW w:w="8280" w:type="dxa"/>
            <w:vAlign w:val="center"/>
          </w:tcPr>
          <w:p>
            <w:r>
              <w:t>班级所有寝室均无违反生活园区管理规定。</w:t>
            </w:r>
          </w:p>
        </w:tc>
      </w:tr>
    </w:tbl>
    <w:p>
      <w:pPr>
        <w:rPr>
          <w:rFonts w:ascii="仿宋" w:hAnsi="仿宋" w:eastAsia="仿宋"/>
          <w:sz w:val="28"/>
          <w:szCs w:val="28"/>
        </w:rPr>
      </w:pPr>
      <w:bookmarkStart w:id="1" w:name="_GoBack"/>
      <w:bookmarkEnd w:id="1"/>
    </w:p>
    <w:sectPr>
      <w:pgSz w:w="11907" w:h="16840"/>
      <w:pgMar w:top="2098" w:right="1587" w:bottom="1985" w:left="1587" w:header="851" w:footer="992" w:gutter="0"/>
      <w:pgNumType w:fmt="numberInDash" w:start="1"/>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文鼎大标宋简">
    <w:altName w:val="苹方-简"/>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细黑">
    <w:altName w:val="黑体-简"/>
    <w:panose1 w:val="02010600040101010101"/>
    <w:charset w:val="86"/>
    <w:family w:val="auto"/>
    <w:pitch w:val="default"/>
    <w:sig w:usb0="00000000" w:usb1="0000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w:t>
    </w:r>
    <w:r>
      <w:t xml:space="preserve"> 2 -</w:t>
    </w:r>
    <w:r>
      <w:fldChar w:fldCharType="end"/>
    </w:r>
  </w:p>
  <w:p>
    <w:pPr>
      <w:pStyle w:val="6"/>
      <w:wordWrap w:val="0"/>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cumentProtection w:enforcement="0"/>
  <w:defaultTabStop w:val="105"/>
  <w:drawingGridHorizontalSpacing w:val="105"/>
  <w:drawingGridVerticalSpacing w:val="16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DF5"/>
    <w:rsid w:val="00000F58"/>
    <w:rsid w:val="00007024"/>
    <w:rsid w:val="000136F7"/>
    <w:rsid w:val="00020F51"/>
    <w:rsid w:val="000300A8"/>
    <w:rsid w:val="000318FC"/>
    <w:rsid w:val="00031C78"/>
    <w:rsid w:val="00036B22"/>
    <w:rsid w:val="000408A3"/>
    <w:rsid w:val="0004402E"/>
    <w:rsid w:val="00050010"/>
    <w:rsid w:val="00054336"/>
    <w:rsid w:val="000545F5"/>
    <w:rsid w:val="00056E22"/>
    <w:rsid w:val="0006077C"/>
    <w:rsid w:val="000617A9"/>
    <w:rsid w:val="00062F9B"/>
    <w:rsid w:val="0006353D"/>
    <w:rsid w:val="00065E8D"/>
    <w:rsid w:val="0007724D"/>
    <w:rsid w:val="0008024F"/>
    <w:rsid w:val="00083DD8"/>
    <w:rsid w:val="00083E21"/>
    <w:rsid w:val="000862C3"/>
    <w:rsid w:val="00091E5C"/>
    <w:rsid w:val="000A4C30"/>
    <w:rsid w:val="000A6242"/>
    <w:rsid w:val="000A6AD4"/>
    <w:rsid w:val="000A6E46"/>
    <w:rsid w:val="000C3C3B"/>
    <w:rsid w:val="000C3C8E"/>
    <w:rsid w:val="000C5461"/>
    <w:rsid w:val="000C7EC5"/>
    <w:rsid w:val="000D068A"/>
    <w:rsid w:val="000D130A"/>
    <w:rsid w:val="000D3B65"/>
    <w:rsid w:val="000D7ED7"/>
    <w:rsid w:val="000E1349"/>
    <w:rsid w:val="000E4F25"/>
    <w:rsid w:val="000E7142"/>
    <w:rsid w:val="000F35F0"/>
    <w:rsid w:val="000F5F07"/>
    <w:rsid w:val="00106688"/>
    <w:rsid w:val="00115FF5"/>
    <w:rsid w:val="00116A8E"/>
    <w:rsid w:val="00116BE8"/>
    <w:rsid w:val="001177AE"/>
    <w:rsid w:val="0012058E"/>
    <w:rsid w:val="00127093"/>
    <w:rsid w:val="0013052E"/>
    <w:rsid w:val="001375AD"/>
    <w:rsid w:val="0014031F"/>
    <w:rsid w:val="00140A71"/>
    <w:rsid w:val="00140AF0"/>
    <w:rsid w:val="00144983"/>
    <w:rsid w:val="0014796F"/>
    <w:rsid w:val="0016163D"/>
    <w:rsid w:val="00163366"/>
    <w:rsid w:val="00163B11"/>
    <w:rsid w:val="001676AB"/>
    <w:rsid w:val="001714DE"/>
    <w:rsid w:val="00175E8D"/>
    <w:rsid w:val="001927C1"/>
    <w:rsid w:val="00194846"/>
    <w:rsid w:val="001950B2"/>
    <w:rsid w:val="00195D95"/>
    <w:rsid w:val="00197110"/>
    <w:rsid w:val="001B3688"/>
    <w:rsid w:val="001C0F6C"/>
    <w:rsid w:val="001C3BBD"/>
    <w:rsid w:val="001C4D61"/>
    <w:rsid w:val="001D598F"/>
    <w:rsid w:val="001D666F"/>
    <w:rsid w:val="001D77E6"/>
    <w:rsid w:val="001D7E55"/>
    <w:rsid w:val="001E202C"/>
    <w:rsid w:val="001E2C46"/>
    <w:rsid w:val="001E455E"/>
    <w:rsid w:val="001E570B"/>
    <w:rsid w:val="001F2498"/>
    <w:rsid w:val="001F48FB"/>
    <w:rsid w:val="001F56B1"/>
    <w:rsid w:val="0020003D"/>
    <w:rsid w:val="00200A61"/>
    <w:rsid w:val="002030E7"/>
    <w:rsid w:val="00207232"/>
    <w:rsid w:val="00213981"/>
    <w:rsid w:val="00213DE5"/>
    <w:rsid w:val="00216842"/>
    <w:rsid w:val="0022512A"/>
    <w:rsid w:val="002276E8"/>
    <w:rsid w:val="00230710"/>
    <w:rsid w:val="00235DBC"/>
    <w:rsid w:val="00244EE5"/>
    <w:rsid w:val="00247FEA"/>
    <w:rsid w:val="00250A5A"/>
    <w:rsid w:val="00252708"/>
    <w:rsid w:val="0025612E"/>
    <w:rsid w:val="00261C07"/>
    <w:rsid w:val="00262712"/>
    <w:rsid w:val="00273E41"/>
    <w:rsid w:val="00280C0E"/>
    <w:rsid w:val="00281329"/>
    <w:rsid w:val="00283FA5"/>
    <w:rsid w:val="002904B4"/>
    <w:rsid w:val="002908F0"/>
    <w:rsid w:val="002922BF"/>
    <w:rsid w:val="0029463F"/>
    <w:rsid w:val="00294D98"/>
    <w:rsid w:val="002970A5"/>
    <w:rsid w:val="002A4F35"/>
    <w:rsid w:val="002B6E8E"/>
    <w:rsid w:val="002C5A6F"/>
    <w:rsid w:val="002C68C5"/>
    <w:rsid w:val="002D3DC8"/>
    <w:rsid w:val="002D6062"/>
    <w:rsid w:val="002E5014"/>
    <w:rsid w:val="002F08F7"/>
    <w:rsid w:val="002F6C2A"/>
    <w:rsid w:val="002F7E39"/>
    <w:rsid w:val="00302BF1"/>
    <w:rsid w:val="00306268"/>
    <w:rsid w:val="00306290"/>
    <w:rsid w:val="0031025E"/>
    <w:rsid w:val="00310B44"/>
    <w:rsid w:val="003140B5"/>
    <w:rsid w:val="0031712C"/>
    <w:rsid w:val="0032590C"/>
    <w:rsid w:val="00327465"/>
    <w:rsid w:val="00330EB0"/>
    <w:rsid w:val="00333867"/>
    <w:rsid w:val="00336A0B"/>
    <w:rsid w:val="0033720D"/>
    <w:rsid w:val="003419D2"/>
    <w:rsid w:val="003500B7"/>
    <w:rsid w:val="00350571"/>
    <w:rsid w:val="00352ACF"/>
    <w:rsid w:val="0035550C"/>
    <w:rsid w:val="0035610A"/>
    <w:rsid w:val="003569A6"/>
    <w:rsid w:val="00361872"/>
    <w:rsid w:val="003621C9"/>
    <w:rsid w:val="00364202"/>
    <w:rsid w:val="0036575B"/>
    <w:rsid w:val="00366093"/>
    <w:rsid w:val="003719CF"/>
    <w:rsid w:val="00371C20"/>
    <w:rsid w:val="00372399"/>
    <w:rsid w:val="00373848"/>
    <w:rsid w:val="00373FEB"/>
    <w:rsid w:val="003743D3"/>
    <w:rsid w:val="0037664F"/>
    <w:rsid w:val="0038102B"/>
    <w:rsid w:val="00382B0D"/>
    <w:rsid w:val="00383515"/>
    <w:rsid w:val="00385CE0"/>
    <w:rsid w:val="00386DA9"/>
    <w:rsid w:val="00390066"/>
    <w:rsid w:val="003907DB"/>
    <w:rsid w:val="00390C7E"/>
    <w:rsid w:val="00391644"/>
    <w:rsid w:val="00391B5D"/>
    <w:rsid w:val="0039287A"/>
    <w:rsid w:val="00392DC0"/>
    <w:rsid w:val="00394E57"/>
    <w:rsid w:val="003A77E1"/>
    <w:rsid w:val="003B03BF"/>
    <w:rsid w:val="003B31D1"/>
    <w:rsid w:val="003C00A9"/>
    <w:rsid w:val="003C7B62"/>
    <w:rsid w:val="003D05EB"/>
    <w:rsid w:val="003D09D6"/>
    <w:rsid w:val="003D4D76"/>
    <w:rsid w:val="003E0DC5"/>
    <w:rsid w:val="003E2EAE"/>
    <w:rsid w:val="003E4309"/>
    <w:rsid w:val="003E5091"/>
    <w:rsid w:val="003E70F0"/>
    <w:rsid w:val="003E7B85"/>
    <w:rsid w:val="003F35C5"/>
    <w:rsid w:val="00404DBA"/>
    <w:rsid w:val="00406133"/>
    <w:rsid w:val="004073DA"/>
    <w:rsid w:val="00411AA6"/>
    <w:rsid w:val="00412BB5"/>
    <w:rsid w:val="004137B4"/>
    <w:rsid w:val="004179A2"/>
    <w:rsid w:val="0042303E"/>
    <w:rsid w:val="00426341"/>
    <w:rsid w:val="004267B5"/>
    <w:rsid w:val="00427837"/>
    <w:rsid w:val="00434FF4"/>
    <w:rsid w:val="00437EEA"/>
    <w:rsid w:val="0044133F"/>
    <w:rsid w:val="00444320"/>
    <w:rsid w:val="004477D3"/>
    <w:rsid w:val="004502C8"/>
    <w:rsid w:val="0045185A"/>
    <w:rsid w:val="00460A07"/>
    <w:rsid w:val="00461F7D"/>
    <w:rsid w:val="00463157"/>
    <w:rsid w:val="00466BBF"/>
    <w:rsid w:val="00467530"/>
    <w:rsid w:val="00467B1C"/>
    <w:rsid w:val="00470E71"/>
    <w:rsid w:val="004712B8"/>
    <w:rsid w:val="00476E73"/>
    <w:rsid w:val="00481B81"/>
    <w:rsid w:val="00481C99"/>
    <w:rsid w:val="0049212F"/>
    <w:rsid w:val="00495DCC"/>
    <w:rsid w:val="0049700B"/>
    <w:rsid w:val="004A36AF"/>
    <w:rsid w:val="004A3CF9"/>
    <w:rsid w:val="004A4114"/>
    <w:rsid w:val="004B482F"/>
    <w:rsid w:val="004B5D29"/>
    <w:rsid w:val="004B665B"/>
    <w:rsid w:val="004B73F5"/>
    <w:rsid w:val="004C2280"/>
    <w:rsid w:val="004C2E29"/>
    <w:rsid w:val="004C515C"/>
    <w:rsid w:val="004C5E2E"/>
    <w:rsid w:val="004C7A81"/>
    <w:rsid w:val="004D24B0"/>
    <w:rsid w:val="004D355E"/>
    <w:rsid w:val="004D4C9E"/>
    <w:rsid w:val="004D71C8"/>
    <w:rsid w:val="004E54F8"/>
    <w:rsid w:val="004E6FE7"/>
    <w:rsid w:val="004F5E62"/>
    <w:rsid w:val="004F6E95"/>
    <w:rsid w:val="00502D5A"/>
    <w:rsid w:val="00511F30"/>
    <w:rsid w:val="00513961"/>
    <w:rsid w:val="00522005"/>
    <w:rsid w:val="005232B5"/>
    <w:rsid w:val="0052592E"/>
    <w:rsid w:val="00525DF2"/>
    <w:rsid w:val="005301B2"/>
    <w:rsid w:val="00536F5D"/>
    <w:rsid w:val="0053707C"/>
    <w:rsid w:val="0054140C"/>
    <w:rsid w:val="00541770"/>
    <w:rsid w:val="00541DF5"/>
    <w:rsid w:val="00543BF2"/>
    <w:rsid w:val="00551075"/>
    <w:rsid w:val="00553EDB"/>
    <w:rsid w:val="00555941"/>
    <w:rsid w:val="00560C5D"/>
    <w:rsid w:val="00561018"/>
    <w:rsid w:val="00562BEE"/>
    <w:rsid w:val="00566D1A"/>
    <w:rsid w:val="00575C78"/>
    <w:rsid w:val="00577B71"/>
    <w:rsid w:val="005A7F9D"/>
    <w:rsid w:val="005B1DB7"/>
    <w:rsid w:val="005B3BAA"/>
    <w:rsid w:val="005B3EB1"/>
    <w:rsid w:val="005B6EE0"/>
    <w:rsid w:val="005B7B61"/>
    <w:rsid w:val="005C1122"/>
    <w:rsid w:val="005C45DA"/>
    <w:rsid w:val="005D1635"/>
    <w:rsid w:val="005D3FC7"/>
    <w:rsid w:val="005D583E"/>
    <w:rsid w:val="005D614E"/>
    <w:rsid w:val="005D6337"/>
    <w:rsid w:val="005E410A"/>
    <w:rsid w:val="005E6BD3"/>
    <w:rsid w:val="005F51A6"/>
    <w:rsid w:val="005F5A79"/>
    <w:rsid w:val="005F6F01"/>
    <w:rsid w:val="005F7AEF"/>
    <w:rsid w:val="005F7B09"/>
    <w:rsid w:val="00602CA7"/>
    <w:rsid w:val="0060701E"/>
    <w:rsid w:val="00610433"/>
    <w:rsid w:val="00613EC5"/>
    <w:rsid w:val="0063381F"/>
    <w:rsid w:val="00634512"/>
    <w:rsid w:val="00635AC5"/>
    <w:rsid w:val="0063715F"/>
    <w:rsid w:val="00645A04"/>
    <w:rsid w:val="006507AF"/>
    <w:rsid w:val="006510AE"/>
    <w:rsid w:val="0065140F"/>
    <w:rsid w:val="00660CEF"/>
    <w:rsid w:val="00661CDB"/>
    <w:rsid w:val="00665491"/>
    <w:rsid w:val="00665863"/>
    <w:rsid w:val="00666243"/>
    <w:rsid w:val="00666468"/>
    <w:rsid w:val="0067135D"/>
    <w:rsid w:val="0067620B"/>
    <w:rsid w:val="00681EFC"/>
    <w:rsid w:val="00687D87"/>
    <w:rsid w:val="006959F9"/>
    <w:rsid w:val="00697156"/>
    <w:rsid w:val="00697E55"/>
    <w:rsid w:val="006A5ED7"/>
    <w:rsid w:val="006B6C24"/>
    <w:rsid w:val="006B7271"/>
    <w:rsid w:val="006B7A92"/>
    <w:rsid w:val="006C03A5"/>
    <w:rsid w:val="006C31E6"/>
    <w:rsid w:val="006C425B"/>
    <w:rsid w:val="006C4E5F"/>
    <w:rsid w:val="006C5F4A"/>
    <w:rsid w:val="006D50EB"/>
    <w:rsid w:val="006D5C9B"/>
    <w:rsid w:val="006E0537"/>
    <w:rsid w:val="006E2B2A"/>
    <w:rsid w:val="006E303E"/>
    <w:rsid w:val="006E67E7"/>
    <w:rsid w:val="006E7491"/>
    <w:rsid w:val="006F4FFE"/>
    <w:rsid w:val="006F6BA7"/>
    <w:rsid w:val="006F770A"/>
    <w:rsid w:val="00702864"/>
    <w:rsid w:val="00702A03"/>
    <w:rsid w:val="00706F81"/>
    <w:rsid w:val="00707B2B"/>
    <w:rsid w:val="0071280B"/>
    <w:rsid w:val="00714F69"/>
    <w:rsid w:val="00716E15"/>
    <w:rsid w:val="00721E67"/>
    <w:rsid w:val="00727A6A"/>
    <w:rsid w:val="007327B6"/>
    <w:rsid w:val="00736191"/>
    <w:rsid w:val="00736552"/>
    <w:rsid w:val="007404AB"/>
    <w:rsid w:val="00741AD2"/>
    <w:rsid w:val="007429EB"/>
    <w:rsid w:val="00743058"/>
    <w:rsid w:val="0074317F"/>
    <w:rsid w:val="0074423C"/>
    <w:rsid w:val="007464DF"/>
    <w:rsid w:val="00755AAA"/>
    <w:rsid w:val="0076039A"/>
    <w:rsid w:val="0076298A"/>
    <w:rsid w:val="007633EE"/>
    <w:rsid w:val="00767C1D"/>
    <w:rsid w:val="007739C6"/>
    <w:rsid w:val="007743E8"/>
    <w:rsid w:val="00781435"/>
    <w:rsid w:val="007815F9"/>
    <w:rsid w:val="007879CD"/>
    <w:rsid w:val="007A4BEF"/>
    <w:rsid w:val="007B1895"/>
    <w:rsid w:val="007B60F7"/>
    <w:rsid w:val="007C1F66"/>
    <w:rsid w:val="007C1FFF"/>
    <w:rsid w:val="007C40DB"/>
    <w:rsid w:val="007C7FB0"/>
    <w:rsid w:val="007D12F6"/>
    <w:rsid w:val="007D2894"/>
    <w:rsid w:val="007E1415"/>
    <w:rsid w:val="007E6034"/>
    <w:rsid w:val="007F0CC6"/>
    <w:rsid w:val="007F103B"/>
    <w:rsid w:val="007F2BBA"/>
    <w:rsid w:val="007F3278"/>
    <w:rsid w:val="007F4CDC"/>
    <w:rsid w:val="007F7ADC"/>
    <w:rsid w:val="00805EC8"/>
    <w:rsid w:val="00810407"/>
    <w:rsid w:val="00810AC9"/>
    <w:rsid w:val="00810FCE"/>
    <w:rsid w:val="0081348E"/>
    <w:rsid w:val="00813FEE"/>
    <w:rsid w:val="008155A5"/>
    <w:rsid w:val="00820385"/>
    <w:rsid w:val="008208CA"/>
    <w:rsid w:val="008212CB"/>
    <w:rsid w:val="00821F9D"/>
    <w:rsid w:val="008223B4"/>
    <w:rsid w:val="008249BF"/>
    <w:rsid w:val="00826F63"/>
    <w:rsid w:val="00827C60"/>
    <w:rsid w:val="0083233D"/>
    <w:rsid w:val="008338E7"/>
    <w:rsid w:val="00834EF5"/>
    <w:rsid w:val="00836CF4"/>
    <w:rsid w:val="008429F9"/>
    <w:rsid w:val="00846F3D"/>
    <w:rsid w:val="0084725B"/>
    <w:rsid w:val="00855FC1"/>
    <w:rsid w:val="008567C5"/>
    <w:rsid w:val="0087746B"/>
    <w:rsid w:val="00880254"/>
    <w:rsid w:val="00880A2B"/>
    <w:rsid w:val="00880A70"/>
    <w:rsid w:val="00881F91"/>
    <w:rsid w:val="00887F66"/>
    <w:rsid w:val="00891AA1"/>
    <w:rsid w:val="008929E3"/>
    <w:rsid w:val="00894362"/>
    <w:rsid w:val="00895E87"/>
    <w:rsid w:val="008A7273"/>
    <w:rsid w:val="008B752A"/>
    <w:rsid w:val="008C11AA"/>
    <w:rsid w:val="008C4587"/>
    <w:rsid w:val="008D5BA1"/>
    <w:rsid w:val="008D70FF"/>
    <w:rsid w:val="008E00C4"/>
    <w:rsid w:val="008F2634"/>
    <w:rsid w:val="008F2758"/>
    <w:rsid w:val="008F351D"/>
    <w:rsid w:val="008F7A28"/>
    <w:rsid w:val="00901ACB"/>
    <w:rsid w:val="009130B3"/>
    <w:rsid w:val="00913A33"/>
    <w:rsid w:val="009143DA"/>
    <w:rsid w:val="00915BC8"/>
    <w:rsid w:val="00921F63"/>
    <w:rsid w:val="00926902"/>
    <w:rsid w:val="0093075B"/>
    <w:rsid w:val="00932C66"/>
    <w:rsid w:val="00933AB7"/>
    <w:rsid w:val="00936CD4"/>
    <w:rsid w:val="00941F19"/>
    <w:rsid w:val="0094285C"/>
    <w:rsid w:val="00942C68"/>
    <w:rsid w:val="00943792"/>
    <w:rsid w:val="00943CE4"/>
    <w:rsid w:val="00944306"/>
    <w:rsid w:val="00944682"/>
    <w:rsid w:val="009456A4"/>
    <w:rsid w:val="009466BC"/>
    <w:rsid w:val="0095212E"/>
    <w:rsid w:val="009670AA"/>
    <w:rsid w:val="009706A2"/>
    <w:rsid w:val="009708B9"/>
    <w:rsid w:val="00971134"/>
    <w:rsid w:val="00975AF5"/>
    <w:rsid w:val="00980FC5"/>
    <w:rsid w:val="009866E2"/>
    <w:rsid w:val="00987C05"/>
    <w:rsid w:val="0099383D"/>
    <w:rsid w:val="009A2081"/>
    <w:rsid w:val="009A25D3"/>
    <w:rsid w:val="009A2D3F"/>
    <w:rsid w:val="009A3B05"/>
    <w:rsid w:val="009A50D9"/>
    <w:rsid w:val="009B11F3"/>
    <w:rsid w:val="009B36DE"/>
    <w:rsid w:val="009B4FBF"/>
    <w:rsid w:val="009C1BD7"/>
    <w:rsid w:val="009C3252"/>
    <w:rsid w:val="009C4E2B"/>
    <w:rsid w:val="009C4FE7"/>
    <w:rsid w:val="009D4C4E"/>
    <w:rsid w:val="009D4E05"/>
    <w:rsid w:val="009D56D2"/>
    <w:rsid w:val="009E434D"/>
    <w:rsid w:val="009E48EE"/>
    <w:rsid w:val="009F3AFB"/>
    <w:rsid w:val="009F3CF9"/>
    <w:rsid w:val="009F47E2"/>
    <w:rsid w:val="009F599A"/>
    <w:rsid w:val="00A01882"/>
    <w:rsid w:val="00A0375E"/>
    <w:rsid w:val="00A0732B"/>
    <w:rsid w:val="00A1077C"/>
    <w:rsid w:val="00A140D4"/>
    <w:rsid w:val="00A25400"/>
    <w:rsid w:val="00A31E57"/>
    <w:rsid w:val="00A34833"/>
    <w:rsid w:val="00A41F7C"/>
    <w:rsid w:val="00A44A65"/>
    <w:rsid w:val="00A531C5"/>
    <w:rsid w:val="00A55796"/>
    <w:rsid w:val="00A60EF6"/>
    <w:rsid w:val="00A7047E"/>
    <w:rsid w:val="00A7317E"/>
    <w:rsid w:val="00A81297"/>
    <w:rsid w:val="00A83C31"/>
    <w:rsid w:val="00A85DF4"/>
    <w:rsid w:val="00A87C2C"/>
    <w:rsid w:val="00A96060"/>
    <w:rsid w:val="00AA76C7"/>
    <w:rsid w:val="00AB2D2E"/>
    <w:rsid w:val="00AB6C3E"/>
    <w:rsid w:val="00AC1163"/>
    <w:rsid w:val="00AC2DEF"/>
    <w:rsid w:val="00AC44DE"/>
    <w:rsid w:val="00AD145F"/>
    <w:rsid w:val="00AD4BB2"/>
    <w:rsid w:val="00AD7671"/>
    <w:rsid w:val="00AE536F"/>
    <w:rsid w:val="00AF7704"/>
    <w:rsid w:val="00B01ADF"/>
    <w:rsid w:val="00B04B0D"/>
    <w:rsid w:val="00B06E8D"/>
    <w:rsid w:val="00B14D11"/>
    <w:rsid w:val="00B174E1"/>
    <w:rsid w:val="00B25293"/>
    <w:rsid w:val="00B2729F"/>
    <w:rsid w:val="00B367A8"/>
    <w:rsid w:val="00B46956"/>
    <w:rsid w:val="00B475EA"/>
    <w:rsid w:val="00B53C79"/>
    <w:rsid w:val="00B549A0"/>
    <w:rsid w:val="00B62575"/>
    <w:rsid w:val="00B6258D"/>
    <w:rsid w:val="00B642C4"/>
    <w:rsid w:val="00B64405"/>
    <w:rsid w:val="00B6485F"/>
    <w:rsid w:val="00B66BE1"/>
    <w:rsid w:val="00B734DE"/>
    <w:rsid w:val="00B771FD"/>
    <w:rsid w:val="00B82E42"/>
    <w:rsid w:val="00B906C9"/>
    <w:rsid w:val="00B93AD5"/>
    <w:rsid w:val="00B94FF9"/>
    <w:rsid w:val="00B9552A"/>
    <w:rsid w:val="00BA0BA2"/>
    <w:rsid w:val="00BA3D01"/>
    <w:rsid w:val="00BB1615"/>
    <w:rsid w:val="00BB167E"/>
    <w:rsid w:val="00BB2887"/>
    <w:rsid w:val="00BB3B55"/>
    <w:rsid w:val="00BB4827"/>
    <w:rsid w:val="00BB5B7F"/>
    <w:rsid w:val="00BD01B1"/>
    <w:rsid w:val="00BD1601"/>
    <w:rsid w:val="00BD26B9"/>
    <w:rsid w:val="00BD4B99"/>
    <w:rsid w:val="00BD65E4"/>
    <w:rsid w:val="00BD6748"/>
    <w:rsid w:val="00BE302E"/>
    <w:rsid w:val="00BE43B6"/>
    <w:rsid w:val="00BE6426"/>
    <w:rsid w:val="00BF478F"/>
    <w:rsid w:val="00BF4B0F"/>
    <w:rsid w:val="00C010DD"/>
    <w:rsid w:val="00C06E22"/>
    <w:rsid w:val="00C072D9"/>
    <w:rsid w:val="00C10F4D"/>
    <w:rsid w:val="00C1133E"/>
    <w:rsid w:val="00C13157"/>
    <w:rsid w:val="00C15E47"/>
    <w:rsid w:val="00C16022"/>
    <w:rsid w:val="00C218A1"/>
    <w:rsid w:val="00C2248A"/>
    <w:rsid w:val="00C257E2"/>
    <w:rsid w:val="00C25FE0"/>
    <w:rsid w:val="00C264B1"/>
    <w:rsid w:val="00C31875"/>
    <w:rsid w:val="00C352A8"/>
    <w:rsid w:val="00C359C9"/>
    <w:rsid w:val="00C36855"/>
    <w:rsid w:val="00C37C8C"/>
    <w:rsid w:val="00C4060F"/>
    <w:rsid w:val="00C41D06"/>
    <w:rsid w:val="00C421E6"/>
    <w:rsid w:val="00C42F76"/>
    <w:rsid w:val="00C4440E"/>
    <w:rsid w:val="00C531CF"/>
    <w:rsid w:val="00C5501C"/>
    <w:rsid w:val="00C55FCF"/>
    <w:rsid w:val="00C70CF3"/>
    <w:rsid w:val="00C71D2C"/>
    <w:rsid w:val="00C77863"/>
    <w:rsid w:val="00C805B8"/>
    <w:rsid w:val="00C83326"/>
    <w:rsid w:val="00C83C7D"/>
    <w:rsid w:val="00C90068"/>
    <w:rsid w:val="00C930AD"/>
    <w:rsid w:val="00C94F2D"/>
    <w:rsid w:val="00C96077"/>
    <w:rsid w:val="00C97CDA"/>
    <w:rsid w:val="00CA6FF7"/>
    <w:rsid w:val="00CB252A"/>
    <w:rsid w:val="00CB428D"/>
    <w:rsid w:val="00CB7D3E"/>
    <w:rsid w:val="00CC257C"/>
    <w:rsid w:val="00CC32BB"/>
    <w:rsid w:val="00CC4C97"/>
    <w:rsid w:val="00CC658F"/>
    <w:rsid w:val="00CD1650"/>
    <w:rsid w:val="00CE0C1C"/>
    <w:rsid w:val="00CE3181"/>
    <w:rsid w:val="00CE7FD0"/>
    <w:rsid w:val="00CF312C"/>
    <w:rsid w:val="00CF3495"/>
    <w:rsid w:val="00CF54F3"/>
    <w:rsid w:val="00CF61B8"/>
    <w:rsid w:val="00D01C22"/>
    <w:rsid w:val="00D01C99"/>
    <w:rsid w:val="00D02A79"/>
    <w:rsid w:val="00D04938"/>
    <w:rsid w:val="00D0619E"/>
    <w:rsid w:val="00D12AC4"/>
    <w:rsid w:val="00D12B66"/>
    <w:rsid w:val="00D14022"/>
    <w:rsid w:val="00D15936"/>
    <w:rsid w:val="00D166E4"/>
    <w:rsid w:val="00D20EBF"/>
    <w:rsid w:val="00D221D9"/>
    <w:rsid w:val="00D26730"/>
    <w:rsid w:val="00D308AB"/>
    <w:rsid w:val="00D3135C"/>
    <w:rsid w:val="00D336CB"/>
    <w:rsid w:val="00D3453D"/>
    <w:rsid w:val="00D35A42"/>
    <w:rsid w:val="00D40F3C"/>
    <w:rsid w:val="00D41759"/>
    <w:rsid w:val="00D42315"/>
    <w:rsid w:val="00D47428"/>
    <w:rsid w:val="00D51CA5"/>
    <w:rsid w:val="00D52BCF"/>
    <w:rsid w:val="00D52C8E"/>
    <w:rsid w:val="00D55B33"/>
    <w:rsid w:val="00D5676F"/>
    <w:rsid w:val="00D57212"/>
    <w:rsid w:val="00D57707"/>
    <w:rsid w:val="00D57B47"/>
    <w:rsid w:val="00D6129D"/>
    <w:rsid w:val="00D61C89"/>
    <w:rsid w:val="00D64BBE"/>
    <w:rsid w:val="00D7238A"/>
    <w:rsid w:val="00D72B3B"/>
    <w:rsid w:val="00D731E9"/>
    <w:rsid w:val="00D74A20"/>
    <w:rsid w:val="00D7638F"/>
    <w:rsid w:val="00D803A7"/>
    <w:rsid w:val="00D80A9E"/>
    <w:rsid w:val="00D81F7C"/>
    <w:rsid w:val="00D83EDA"/>
    <w:rsid w:val="00D9107F"/>
    <w:rsid w:val="00D93BA2"/>
    <w:rsid w:val="00DA052A"/>
    <w:rsid w:val="00DA39A1"/>
    <w:rsid w:val="00DA723C"/>
    <w:rsid w:val="00DB2D14"/>
    <w:rsid w:val="00DB4AA9"/>
    <w:rsid w:val="00DB5C25"/>
    <w:rsid w:val="00DB6741"/>
    <w:rsid w:val="00DB7287"/>
    <w:rsid w:val="00DC3535"/>
    <w:rsid w:val="00DD1429"/>
    <w:rsid w:val="00DD4285"/>
    <w:rsid w:val="00DE1AFF"/>
    <w:rsid w:val="00DE650A"/>
    <w:rsid w:val="00DE7450"/>
    <w:rsid w:val="00DE75E9"/>
    <w:rsid w:val="00DF14F8"/>
    <w:rsid w:val="00DF7218"/>
    <w:rsid w:val="00E061DC"/>
    <w:rsid w:val="00E10DCC"/>
    <w:rsid w:val="00E11B47"/>
    <w:rsid w:val="00E1266F"/>
    <w:rsid w:val="00E12B02"/>
    <w:rsid w:val="00E135CB"/>
    <w:rsid w:val="00E15145"/>
    <w:rsid w:val="00E1703F"/>
    <w:rsid w:val="00E2024D"/>
    <w:rsid w:val="00E219B7"/>
    <w:rsid w:val="00E24B41"/>
    <w:rsid w:val="00E25E5A"/>
    <w:rsid w:val="00E26999"/>
    <w:rsid w:val="00E3312C"/>
    <w:rsid w:val="00E34D67"/>
    <w:rsid w:val="00E37CA8"/>
    <w:rsid w:val="00E40127"/>
    <w:rsid w:val="00E4030D"/>
    <w:rsid w:val="00E41CDA"/>
    <w:rsid w:val="00E43150"/>
    <w:rsid w:val="00E432BE"/>
    <w:rsid w:val="00E515A0"/>
    <w:rsid w:val="00E56500"/>
    <w:rsid w:val="00E57BA2"/>
    <w:rsid w:val="00E63E8C"/>
    <w:rsid w:val="00E63EA7"/>
    <w:rsid w:val="00E66109"/>
    <w:rsid w:val="00E67BD2"/>
    <w:rsid w:val="00E72302"/>
    <w:rsid w:val="00E72410"/>
    <w:rsid w:val="00E744B7"/>
    <w:rsid w:val="00E81024"/>
    <w:rsid w:val="00E82628"/>
    <w:rsid w:val="00E836CF"/>
    <w:rsid w:val="00E91240"/>
    <w:rsid w:val="00E937DC"/>
    <w:rsid w:val="00E942CF"/>
    <w:rsid w:val="00E94D2A"/>
    <w:rsid w:val="00E95627"/>
    <w:rsid w:val="00E9568C"/>
    <w:rsid w:val="00EA12C0"/>
    <w:rsid w:val="00EA748A"/>
    <w:rsid w:val="00EB4E15"/>
    <w:rsid w:val="00EB6CA4"/>
    <w:rsid w:val="00EB7B64"/>
    <w:rsid w:val="00EC24F3"/>
    <w:rsid w:val="00EC3099"/>
    <w:rsid w:val="00EC5AFA"/>
    <w:rsid w:val="00EC614F"/>
    <w:rsid w:val="00EC658A"/>
    <w:rsid w:val="00ED5D5B"/>
    <w:rsid w:val="00EE1B88"/>
    <w:rsid w:val="00EE244C"/>
    <w:rsid w:val="00EF6FF2"/>
    <w:rsid w:val="00F0123F"/>
    <w:rsid w:val="00F02517"/>
    <w:rsid w:val="00F03838"/>
    <w:rsid w:val="00F06C45"/>
    <w:rsid w:val="00F12D76"/>
    <w:rsid w:val="00F13CF8"/>
    <w:rsid w:val="00F14E68"/>
    <w:rsid w:val="00F224A0"/>
    <w:rsid w:val="00F3389E"/>
    <w:rsid w:val="00F349E5"/>
    <w:rsid w:val="00F35E63"/>
    <w:rsid w:val="00F4170F"/>
    <w:rsid w:val="00F515AF"/>
    <w:rsid w:val="00F533FB"/>
    <w:rsid w:val="00F57B58"/>
    <w:rsid w:val="00F63281"/>
    <w:rsid w:val="00F655D3"/>
    <w:rsid w:val="00F6744A"/>
    <w:rsid w:val="00F71ACD"/>
    <w:rsid w:val="00F71D22"/>
    <w:rsid w:val="00F76C4E"/>
    <w:rsid w:val="00F76C59"/>
    <w:rsid w:val="00F8578D"/>
    <w:rsid w:val="00F859B0"/>
    <w:rsid w:val="00F85B5C"/>
    <w:rsid w:val="00F9264A"/>
    <w:rsid w:val="00F94B02"/>
    <w:rsid w:val="00F97855"/>
    <w:rsid w:val="00FA1812"/>
    <w:rsid w:val="00FA7D37"/>
    <w:rsid w:val="00FB425A"/>
    <w:rsid w:val="00FB7805"/>
    <w:rsid w:val="00FC2490"/>
    <w:rsid w:val="00FC40FF"/>
    <w:rsid w:val="00FC52EB"/>
    <w:rsid w:val="00FD22D6"/>
    <w:rsid w:val="00FD7325"/>
    <w:rsid w:val="00FE25EF"/>
    <w:rsid w:val="00FE4F8F"/>
    <w:rsid w:val="00FE6131"/>
    <w:rsid w:val="00FF3084"/>
    <w:rsid w:val="00FF4D10"/>
    <w:rsid w:val="00FF591A"/>
    <w:rsid w:val="00FF7526"/>
    <w:rsid w:val="02D37D22"/>
    <w:rsid w:val="04E12484"/>
    <w:rsid w:val="04ED4ED5"/>
    <w:rsid w:val="05204DF6"/>
    <w:rsid w:val="07B96557"/>
    <w:rsid w:val="09AB0A48"/>
    <w:rsid w:val="0A801EFA"/>
    <w:rsid w:val="0B231E28"/>
    <w:rsid w:val="0B824631"/>
    <w:rsid w:val="0C3E0847"/>
    <w:rsid w:val="0EDE2812"/>
    <w:rsid w:val="0EDE3C82"/>
    <w:rsid w:val="10310A67"/>
    <w:rsid w:val="117B33F0"/>
    <w:rsid w:val="1281158E"/>
    <w:rsid w:val="136A1CCE"/>
    <w:rsid w:val="156E1822"/>
    <w:rsid w:val="169D590A"/>
    <w:rsid w:val="16D05841"/>
    <w:rsid w:val="17B65C1D"/>
    <w:rsid w:val="19214322"/>
    <w:rsid w:val="19C66152"/>
    <w:rsid w:val="1AAA6722"/>
    <w:rsid w:val="1C6F51B4"/>
    <w:rsid w:val="1D813140"/>
    <w:rsid w:val="1D9F6F62"/>
    <w:rsid w:val="205D78CB"/>
    <w:rsid w:val="21273077"/>
    <w:rsid w:val="277C6D30"/>
    <w:rsid w:val="29636834"/>
    <w:rsid w:val="2AD355EF"/>
    <w:rsid w:val="2BF122C8"/>
    <w:rsid w:val="336C67EB"/>
    <w:rsid w:val="341E46F2"/>
    <w:rsid w:val="34F41112"/>
    <w:rsid w:val="38B201DF"/>
    <w:rsid w:val="39447492"/>
    <w:rsid w:val="3D6E7FDA"/>
    <w:rsid w:val="3F4F7E0D"/>
    <w:rsid w:val="444714BA"/>
    <w:rsid w:val="44FC432A"/>
    <w:rsid w:val="46EF7D22"/>
    <w:rsid w:val="4A1D0BEA"/>
    <w:rsid w:val="4DFE6032"/>
    <w:rsid w:val="4E6032F9"/>
    <w:rsid w:val="4F314880"/>
    <w:rsid w:val="4F335E88"/>
    <w:rsid w:val="57AB2D5D"/>
    <w:rsid w:val="57FA49E9"/>
    <w:rsid w:val="58B2271F"/>
    <w:rsid w:val="58D65ABC"/>
    <w:rsid w:val="5ACA3E7B"/>
    <w:rsid w:val="5CA91D38"/>
    <w:rsid w:val="5FE41A28"/>
    <w:rsid w:val="616A2CFA"/>
    <w:rsid w:val="63074661"/>
    <w:rsid w:val="634356EA"/>
    <w:rsid w:val="642D1D41"/>
    <w:rsid w:val="68C61264"/>
    <w:rsid w:val="694A1514"/>
    <w:rsid w:val="6E8B2A80"/>
    <w:rsid w:val="7546583F"/>
    <w:rsid w:val="759E2388"/>
    <w:rsid w:val="77070EEB"/>
    <w:rsid w:val="7B705622"/>
    <w:rsid w:val="7CAB5BCF"/>
    <w:rsid w:val="7E8310D2"/>
    <w:rsid w:val="7FFB9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Body Text"/>
    <w:basedOn w:val="1"/>
    <w:link w:val="20"/>
    <w:qFormat/>
    <w:uiPriority w:val="1"/>
    <w:pPr>
      <w:autoSpaceDE w:val="0"/>
      <w:autoSpaceDN w:val="0"/>
      <w:jc w:val="left"/>
    </w:pPr>
    <w:rPr>
      <w:rFonts w:ascii="仿宋" w:hAnsi="仿宋" w:eastAsia="仿宋" w:cs="仿宋"/>
      <w:kern w:val="0"/>
      <w:sz w:val="32"/>
      <w:szCs w:val="32"/>
      <w:lang w:eastAsia="en-US"/>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qFormat/>
    <w:uiPriority w:val="20"/>
    <w:rPr>
      <w:i/>
      <w:iCs/>
    </w:rPr>
  </w:style>
  <w:style w:type="character" w:styleId="13">
    <w:name w:val="Hyperlink"/>
    <w:qFormat/>
    <w:uiPriority w:val="0"/>
    <w:rPr>
      <w:color w:val="000066"/>
      <w:sz w:val="20"/>
      <w:szCs w:val="20"/>
      <w:u w:val="none"/>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正文文本 (4)"/>
    <w:basedOn w:val="1"/>
    <w:qFormat/>
    <w:uiPriority w:val="0"/>
    <w:pPr>
      <w:shd w:val="clear" w:color="auto" w:fill="FFFFFF"/>
      <w:spacing w:before="1500" w:after="480" w:line="554" w:lineRule="exact"/>
      <w:jc w:val="center"/>
    </w:pPr>
    <w:rPr>
      <w:rFonts w:ascii="MingLiU" w:hAnsi="MingLiU" w:eastAsia="MingLiU" w:cs="MingLiU"/>
      <w:kern w:val="0"/>
      <w:sz w:val="38"/>
      <w:szCs w:val="38"/>
    </w:rPr>
  </w:style>
  <w:style w:type="paragraph" w:customStyle="1" w:styleId="18">
    <w:name w:val="List Paragraph"/>
    <w:basedOn w:val="1"/>
    <w:qFormat/>
    <w:uiPriority w:val="34"/>
    <w:pPr>
      <w:ind w:firstLine="420" w:firstLineChars="200"/>
    </w:pPr>
  </w:style>
  <w:style w:type="character" w:customStyle="1" w:styleId="19">
    <w:name w:val="标题 1 Char"/>
    <w:link w:val="2"/>
    <w:qFormat/>
    <w:uiPriority w:val="9"/>
    <w:rPr>
      <w:rFonts w:ascii="宋体" w:hAnsi="宋体" w:cs="宋体"/>
      <w:b/>
      <w:bCs/>
      <w:kern w:val="36"/>
      <w:sz w:val="48"/>
      <w:szCs w:val="48"/>
    </w:rPr>
  </w:style>
  <w:style w:type="character" w:customStyle="1" w:styleId="20">
    <w:name w:val="正文文本 Char"/>
    <w:link w:val="3"/>
    <w:qFormat/>
    <w:uiPriority w:val="1"/>
    <w:rPr>
      <w:rFonts w:ascii="仿宋" w:hAnsi="仿宋" w:eastAsia="仿宋" w:cs="仿宋"/>
      <w:sz w:val="32"/>
      <w:szCs w:val="32"/>
      <w:lang w:eastAsia="en-US"/>
    </w:rPr>
  </w:style>
  <w:style w:type="character" w:customStyle="1" w:styleId="21">
    <w:name w:val="页脚 Char"/>
    <w:link w:val="6"/>
    <w:qFormat/>
    <w:uiPriority w:val="99"/>
    <w:rPr>
      <w:kern w:val="2"/>
      <w:sz w:val="18"/>
      <w:szCs w:val="18"/>
    </w:rPr>
  </w:style>
  <w:style w:type="character" w:customStyle="1" w:styleId="22">
    <w:name w:val="页眉 Char"/>
    <w:link w:val="7"/>
    <w:qFormat/>
    <w:uiPriority w:val="0"/>
    <w:rPr>
      <w:kern w:val="2"/>
      <w:sz w:val="18"/>
      <w:szCs w:val="18"/>
    </w:rPr>
  </w:style>
  <w:style w:type="character" w:customStyle="1" w:styleId="23">
    <w:name w:val="font21"/>
    <w:basedOn w:val="9"/>
    <w:qFormat/>
    <w:uiPriority w:val="0"/>
    <w:rPr>
      <w:rFonts w:hint="eastAsia" w:ascii="宋体" w:hAnsi="宋体" w:eastAsia="宋体" w:cs="宋体"/>
      <w:color w:val="000000"/>
      <w:sz w:val="21"/>
      <w:szCs w:val="21"/>
      <w:u w:val="none"/>
    </w:rPr>
  </w:style>
  <w:style w:type="character" w:customStyle="1" w:styleId="24">
    <w:name w:val="font01"/>
    <w:basedOn w:val="9"/>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上海电力学院</Company>
  <Pages>16</Pages>
  <Words>786</Words>
  <Characters>4481</Characters>
  <Lines>37</Lines>
  <Paragraphs>10</Paragraphs>
  <ScaleCrop>false</ScaleCrop>
  <LinksUpToDate>false</LinksUpToDate>
  <CharactersWithSpaces>5257</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2021-07-08T16:46:00Z</dcterms:created>
  <dc:creator>Administrator</dc:creator>
  <cp:lastModifiedBy>ElodieWoo</cp:lastModifiedBy>
  <cp:lastPrinted>2021-07-12T12:53:00Z</cp:lastPrinted>
  <dcterms:modified xsi:type="dcterms:W3CDTF">2022-10-21T10:34:52Z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23099527743745DBA9AA394408EA2735</vt:lpwstr>
  </property>
</Properties>
</file>